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FF" w:rsidRPr="001C5AFF" w:rsidRDefault="001C5AFF" w:rsidP="001C5AFF">
      <w:pPr>
        <w:suppressAutoHyphens w:val="0"/>
        <w:overflowPunct w:val="0"/>
        <w:topLinePunct/>
        <w:spacing w:line="592" w:lineRule="exact"/>
        <w:rPr>
          <w:rFonts w:ascii="宋体" w:hAnsi="宋体"/>
          <w:color w:val="000000" w:themeColor="text1"/>
          <w:sz w:val="44"/>
          <w:szCs w:val="44"/>
        </w:rPr>
      </w:pPr>
    </w:p>
    <w:p w:rsidR="001C5AFF" w:rsidRPr="007F7A71" w:rsidRDefault="001C5AFF" w:rsidP="001C5AFF">
      <w:pPr>
        <w:suppressAutoHyphens w:val="0"/>
        <w:overflowPunct w:val="0"/>
        <w:topLinePunct/>
        <w:spacing w:line="592" w:lineRule="exact"/>
        <w:jc w:val="center"/>
        <w:rPr>
          <w:rFonts w:ascii="方正小标宋_GBK" w:eastAsia="方正小标宋_GBK" w:hAnsi="宋体" w:hint="eastAsia"/>
          <w:color w:val="000000" w:themeColor="text1"/>
          <w:spacing w:val="4"/>
          <w:sz w:val="44"/>
          <w:szCs w:val="44"/>
        </w:rPr>
      </w:pPr>
      <w:bookmarkStart w:id="0" w:name="_GoBack"/>
      <w:r w:rsidRPr="007F7A71">
        <w:rPr>
          <w:rFonts w:ascii="方正小标宋_GBK" w:eastAsia="方正小标宋_GBK" w:hAnsi="宋体" w:hint="eastAsia"/>
          <w:color w:val="000000" w:themeColor="text1"/>
          <w:spacing w:val="4"/>
          <w:sz w:val="44"/>
          <w:szCs w:val="44"/>
        </w:rPr>
        <w:t>云南省机关事务管理局</w:t>
      </w:r>
    </w:p>
    <w:p w:rsidR="001C5AFF" w:rsidRPr="007F7A71" w:rsidRDefault="001C5AFF" w:rsidP="001C5AFF">
      <w:pPr>
        <w:suppressAutoHyphens w:val="0"/>
        <w:overflowPunct w:val="0"/>
        <w:topLinePunct/>
        <w:spacing w:line="592" w:lineRule="exact"/>
        <w:jc w:val="center"/>
        <w:rPr>
          <w:rFonts w:ascii="方正小标宋_GBK" w:eastAsia="方正小标宋_GBK" w:hAnsi="宋体" w:hint="eastAsia"/>
          <w:color w:val="000000" w:themeColor="text1"/>
          <w:spacing w:val="-4"/>
          <w:sz w:val="44"/>
          <w:szCs w:val="44"/>
        </w:rPr>
      </w:pPr>
      <w:r w:rsidRPr="007F7A71">
        <w:rPr>
          <w:rFonts w:ascii="方正小标宋_GBK" w:eastAsia="方正小标宋_GBK" w:hAnsi="宋体" w:hint="eastAsia"/>
          <w:color w:val="000000" w:themeColor="text1"/>
          <w:spacing w:val="-4"/>
          <w:sz w:val="44"/>
          <w:szCs w:val="44"/>
        </w:rPr>
        <w:t>公有住房管理暂行规定</w:t>
      </w:r>
    </w:p>
    <w:bookmarkEnd w:id="0"/>
    <w:p w:rsidR="001C5AFF" w:rsidRPr="007F7A71" w:rsidRDefault="001C5AFF" w:rsidP="007F7A71">
      <w:pPr>
        <w:suppressAutoHyphens w:val="0"/>
        <w:overflowPunct w:val="0"/>
        <w:topLinePunct/>
        <w:spacing w:line="592" w:lineRule="exact"/>
        <w:jc w:val="center"/>
        <w:rPr>
          <w:rFonts w:ascii="仿宋" w:eastAsia="仿宋" w:hAnsi="仿宋" w:cs="楷体_GB2312"/>
          <w:color w:val="000000" w:themeColor="text1"/>
          <w:sz w:val="32"/>
          <w:szCs w:val="32"/>
          <w:shd w:val="clear" w:color="auto" w:fill="FFFFFF"/>
        </w:rPr>
      </w:pPr>
      <w:proofErr w:type="gramStart"/>
      <w:r w:rsidRPr="007F7A71">
        <w:rPr>
          <w:rFonts w:ascii="仿宋" w:eastAsia="仿宋" w:hAnsi="仿宋" w:cs="楷体_GB2312" w:hint="eastAsia"/>
          <w:color w:val="000000" w:themeColor="text1"/>
          <w:sz w:val="32"/>
          <w:szCs w:val="32"/>
          <w:shd w:val="clear" w:color="auto" w:fill="FFFFFF"/>
        </w:rPr>
        <w:t>云管发</w:t>
      </w:r>
      <w:proofErr w:type="gramEnd"/>
      <w:r w:rsidRPr="007F7A71">
        <w:rPr>
          <w:rFonts w:ascii="仿宋" w:eastAsia="仿宋" w:hAnsi="仿宋" w:cs="楷体_GB2312" w:hint="eastAsia"/>
          <w:color w:val="000000" w:themeColor="text1"/>
          <w:sz w:val="32"/>
          <w:szCs w:val="32"/>
          <w:shd w:val="clear" w:color="auto" w:fill="FFFFFF"/>
        </w:rPr>
        <w:t>〔2021〕38号</w:t>
      </w:r>
    </w:p>
    <w:p w:rsidR="001C5AFF" w:rsidRPr="001C5AFF" w:rsidRDefault="001C5AFF" w:rsidP="001C5AFF">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p>
    <w:p w:rsidR="001C5AFF" w:rsidRPr="0030449B" w:rsidRDefault="001C5AFF" w:rsidP="001C5AFF">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为加强和规范省机关事务局公有住房管理，提高公有住房使用效率，充分发挥公有住房保障功能，按照管理科学化、服务社会化、保障法制化要求，根据有关法律法规，结合工作实际，制定本规定。</w:t>
      </w:r>
    </w:p>
    <w:p w:rsidR="001C5AFF" w:rsidRPr="001C5AFF" w:rsidRDefault="001C5AFF" w:rsidP="001C5AFF">
      <w:pPr>
        <w:suppressAutoHyphens w:val="0"/>
        <w:overflowPunct w:val="0"/>
        <w:topLinePunct/>
        <w:adjustRightInd w:val="0"/>
        <w:snapToGrid w:val="0"/>
        <w:spacing w:line="592" w:lineRule="exact"/>
        <w:ind w:firstLineChars="200" w:firstLine="640"/>
        <w:rPr>
          <w:rFonts w:ascii="宋体" w:eastAsia="仿宋_GB2312" w:hAnsi="宋体"/>
          <w:color w:val="000000" w:themeColor="text1"/>
          <w:sz w:val="32"/>
          <w:szCs w:val="32"/>
          <w:shd w:val="clear" w:color="auto" w:fill="FFFFFF"/>
        </w:rPr>
      </w:pPr>
      <w:r w:rsidRPr="001C5AFF">
        <w:rPr>
          <w:rFonts w:ascii="宋体" w:eastAsia="黑体" w:hAnsi="宋体" w:hint="eastAsia"/>
          <w:color w:val="000000" w:themeColor="text1"/>
          <w:sz w:val="32"/>
          <w:szCs w:val="32"/>
        </w:rPr>
        <w:t>第一条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本规定所称公有住房，是指由省机关事务局管理，除省级干部和厅局级干部周转住房外的公有住房。</w:t>
      </w:r>
    </w:p>
    <w:p w:rsidR="001C5AFF" w:rsidRPr="001C5AFF" w:rsidRDefault="001C5AFF" w:rsidP="001C5AFF">
      <w:pPr>
        <w:suppressAutoHyphens w:val="0"/>
        <w:overflowPunct w:val="0"/>
        <w:topLinePunct/>
        <w:adjustRightInd w:val="0"/>
        <w:snapToGrid w:val="0"/>
        <w:spacing w:line="592" w:lineRule="exact"/>
        <w:ind w:firstLineChars="200" w:firstLine="640"/>
        <w:rPr>
          <w:rFonts w:ascii="宋体" w:eastAsia="仿宋_GB2312" w:hAnsi="宋体"/>
          <w:color w:val="000000" w:themeColor="text1"/>
          <w:sz w:val="32"/>
          <w:szCs w:val="32"/>
          <w:shd w:val="clear" w:color="auto" w:fill="FFFFFF"/>
        </w:rPr>
      </w:pPr>
      <w:r w:rsidRPr="001C5AFF">
        <w:rPr>
          <w:rFonts w:ascii="宋体" w:eastAsia="黑体" w:hAnsi="宋体" w:hint="eastAsia"/>
          <w:color w:val="000000" w:themeColor="text1"/>
          <w:sz w:val="32"/>
          <w:szCs w:val="32"/>
        </w:rPr>
        <w:t>第二条</w:t>
      </w:r>
      <w:r w:rsidRPr="001C5AFF">
        <w:rPr>
          <w:rFonts w:ascii="Times New Roman" w:eastAsia="仿宋_GB2312" w:hAnsi="Times New Roman"/>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本规定所指的公有住房管理工作应遵守国家法律法规和相关制度规定，任何单位和个人都不得占用、损坏公有住房，不得改变公有住房用途。</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第三条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公有住房的管理、调配遵循统一管理、周转使用、合理调配的原则，房地产管理处具体负责公有住房的管理，履行以下职责：</w:t>
      </w:r>
    </w:p>
    <w:p w:rsidR="001C5AFF" w:rsidRPr="0030449B" w:rsidRDefault="001C5AFF" w:rsidP="001C5AFF">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（一）公有住房的清查登记、统计报告；</w:t>
      </w:r>
    </w:p>
    <w:p w:rsidR="001C5AFF" w:rsidRPr="0030449B" w:rsidRDefault="001C5AFF" w:rsidP="001C5AFF">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（二）公有住房的日常使用管理；</w:t>
      </w:r>
    </w:p>
    <w:p w:rsidR="001C5AFF" w:rsidRPr="0030449B" w:rsidRDefault="001C5AFF" w:rsidP="001C5AFF">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（三）其他应履行的职责。</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第四条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使用公有住房的人员范围：</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（一）交流到省委办公厅、省政府办公厅工作人员（处级及</w:t>
      </w:r>
      <w:r w:rsidRPr="0030449B">
        <w:rPr>
          <w:rFonts w:ascii="仿宋" w:eastAsia="仿宋" w:hAnsi="仿宋" w:hint="eastAsia"/>
          <w:color w:val="000000" w:themeColor="text1"/>
          <w:sz w:val="32"/>
          <w:szCs w:val="32"/>
          <w:shd w:val="clear" w:color="auto" w:fill="FFFFFF"/>
        </w:rPr>
        <w:lastRenderedPageBreak/>
        <w:t>以下）；</w:t>
      </w:r>
    </w:p>
    <w:p w:rsidR="001C5AFF" w:rsidRPr="0030449B" w:rsidRDefault="009E733C"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（二）省委办公厅、省政府办公厅挂职、跟班学习工作人员；</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（三）省委办公厅、省政府办公厅服务保障单位工作人员。</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第五条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使用公有住房应提交的材料：</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（一）省委办公厅、省政府办公厅同意使用公有住房的审批材料；</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（二）交流、挂职、跟班锻炼工作人员所在单位人事部门或使用部门证明材料；</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（三）其他根据实际情况应提供的材料。</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第六条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使用公有住房的流程：</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（一）房地产管理处对提交的材料进行审核；</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（二）结合房源实际，报局领导审批同意后，与使用人或使用单位签订使用合同，办理相关手续；</w:t>
      </w:r>
    </w:p>
    <w:p w:rsidR="001C5AFF" w:rsidRPr="001C5AFF" w:rsidRDefault="001C5AFF" w:rsidP="0030449B">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（三）单位使用公有住房的，使用单位应定期向房地产管理处报备使用情况。</w:t>
      </w:r>
    </w:p>
    <w:p w:rsidR="001C5AFF" w:rsidRPr="001C5AFF" w:rsidRDefault="001C5AFF" w:rsidP="00273785">
      <w:pPr>
        <w:suppressAutoHyphens w:val="0"/>
        <w:overflowPunct w:val="0"/>
        <w:topLinePunct/>
        <w:adjustRightInd w:val="0"/>
        <w:snapToGrid w:val="0"/>
        <w:spacing w:line="618" w:lineRule="exact"/>
        <w:ind w:firstLineChars="200" w:firstLine="640"/>
        <w:rPr>
          <w:rFonts w:ascii="宋体" w:eastAsia="仿宋_GB2312" w:hAnsi="宋体"/>
          <w:color w:val="000000" w:themeColor="text1"/>
          <w:sz w:val="32"/>
          <w:szCs w:val="32"/>
          <w:shd w:val="clear" w:color="auto" w:fill="FFFFFF"/>
        </w:rPr>
      </w:pPr>
      <w:r w:rsidRPr="001C5AFF">
        <w:rPr>
          <w:rFonts w:ascii="宋体" w:eastAsia="黑体" w:hAnsi="宋体" w:hint="eastAsia"/>
          <w:color w:val="000000" w:themeColor="text1"/>
          <w:sz w:val="32"/>
          <w:szCs w:val="32"/>
        </w:rPr>
        <w:t>第七条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交流、挂职、跟班锻炼和服务保障工作人员使用公有住房期间，不收取房屋租金和物业管理费。本规定施行以前使用公有住房的个人和单位，不属于上述情形的，按房屋面积每平方米5.21元每月的租金标准交付租金。</w:t>
      </w:r>
    </w:p>
    <w:p w:rsidR="001C5AFF" w:rsidRPr="0030449B" w:rsidRDefault="001C5AFF" w:rsidP="00273785">
      <w:pPr>
        <w:suppressAutoHyphens w:val="0"/>
        <w:overflowPunct w:val="0"/>
        <w:topLinePunct/>
        <w:adjustRightInd w:val="0"/>
        <w:snapToGrid w:val="0"/>
        <w:spacing w:line="618"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第八条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使用人和使用单位在使用期满后，必须无条件退还住房，不得以各种理由延迟和拒绝退房。</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lastRenderedPageBreak/>
        <w:t>第九条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使用人和使用单位有下列行为之一的，省机关事务管理局有权终止合同并收回公有住房，造成的损失由使用人和使用单位自行承担，必要时采取经济、行政或法律手段：</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（一）转让、转租，出借或调换使用的；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（二）拆改房屋结构或改变用途的；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（三）利用公有住房进行违法活动的；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（四）故意损坏公有住房的；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（五）拒不缴纳或拖欠房屋租金的；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（六）工作调整且在2个月内未腾退公有住房的；</w:t>
      </w:r>
    </w:p>
    <w:p w:rsidR="001C5AFF" w:rsidRPr="0030449B" w:rsidRDefault="001C5AFF" w:rsidP="0030449B">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30449B">
        <w:rPr>
          <w:rFonts w:ascii="仿宋" w:eastAsia="仿宋" w:hAnsi="仿宋" w:hint="eastAsia"/>
          <w:color w:val="000000" w:themeColor="text1"/>
          <w:sz w:val="32"/>
          <w:szCs w:val="32"/>
          <w:shd w:val="clear" w:color="auto" w:fill="FFFFFF"/>
        </w:rPr>
        <w:t>（七）其他依规可以收回公有住房的情形。</w:t>
      </w:r>
    </w:p>
    <w:p w:rsidR="001C5AFF" w:rsidRPr="001C5AFF" w:rsidRDefault="001C5AFF" w:rsidP="00273785">
      <w:pPr>
        <w:suppressAutoHyphens w:val="0"/>
        <w:overflowPunct w:val="0"/>
        <w:topLinePunct/>
        <w:adjustRightInd w:val="0"/>
        <w:snapToGrid w:val="0"/>
        <w:spacing w:line="618" w:lineRule="exact"/>
        <w:ind w:firstLineChars="200" w:firstLine="640"/>
        <w:rPr>
          <w:rFonts w:ascii="宋体" w:eastAsia="仿宋_GB2312" w:hAnsi="宋体"/>
          <w:color w:val="000000" w:themeColor="text1"/>
          <w:sz w:val="32"/>
          <w:szCs w:val="32"/>
          <w:shd w:val="clear" w:color="auto" w:fill="FFFFFF"/>
        </w:rPr>
      </w:pPr>
      <w:r w:rsidRPr="001C5AFF">
        <w:rPr>
          <w:rFonts w:ascii="宋体" w:eastAsia="黑体" w:hAnsi="宋体" w:hint="eastAsia"/>
          <w:color w:val="000000" w:themeColor="text1"/>
          <w:sz w:val="32"/>
          <w:szCs w:val="32"/>
        </w:rPr>
        <w:t>第十条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使用人和使用单位应按时向相关部门缴纳水、电、气等相关费用。逾期不交的，按相关部门的规定办理。</w:t>
      </w:r>
    </w:p>
    <w:p w:rsidR="001C5AFF" w:rsidRPr="0030449B" w:rsidRDefault="001C5AFF" w:rsidP="00273785">
      <w:pPr>
        <w:suppressAutoHyphens w:val="0"/>
        <w:overflowPunct w:val="0"/>
        <w:topLinePunct/>
        <w:adjustRightInd w:val="0"/>
        <w:snapToGrid w:val="0"/>
        <w:spacing w:line="618"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第十一条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使用人和使用单位不得改动公共设施，不得在公共部位私搭乱建，或者有其他影响公共安全的行为；不遵守管理规定的，自行承担相应法律责任并赔偿损失。</w:t>
      </w:r>
    </w:p>
    <w:p w:rsidR="001C5AFF" w:rsidRPr="0030449B" w:rsidRDefault="001C5AFF" w:rsidP="00273785">
      <w:pPr>
        <w:suppressAutoHyphens w:val="0"/>
        <w:overflowPunct w:val="0"/>
        <w:topLinePunct/>
        <w:adjustRightInd w:val="0"/>
        <w:snapToGrid w:val="0"/>
        <w:spacing w:line="618"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第十二条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使用人和使用单位应遵守相关法律、法规及合同约定，承担相应的房屋使用安全责任。在使用过程中发现安全隐患或者险情，应及时通知房地产管理处或物业服务单位进行必要的处理，未及时通知造成损害的自行承担相应法律责任。</w:t>
      </w:r>
    </w:p>
    <w:p w:rsidR="001C5AFF" w:rsidRPr="0030449B" w:rsidRDefault="001C5AFF" w:rsidP="00273785">
      <w:pPr>
        <w:suppressAutoHyphens w:val="0"/>
        <w:overflowPunct w:val="0"/>
        <w:topLinePunct/>
        <w:adjustRightInd w:val="0"/>
        <w:snapToGrid w:val="0"/>
        <w:spacing w:line="618" w:lineRule="exact"/>
        <w:ind w:firstLineChars="200" w:firstLine="640"/>
        <w:rPr>
          <w:rFonts w:ascii="仿宋" w:eastAsia="仿宋" w:hAnsi="仿宋"/>
          <w:color w:val="000000" w:themeColor="text1"/>
          <w:sz w:val="32"/>
          <w:szCs w:val="32"/>
          <w:shd w:val="clear" w:color="auto" w:fill="FFFFFF"/>
        </w:rPr>
      </w:pPr>
      <w:r w:rsidRPr="001C5AFF">
        <w:rPr>
          <w:rFonts w:ascii="宋体" w:eastAsia="黑体" w:hAnsi="宋体" w:hint="eastAsia"/>
          <w:color w:val="000000" w:themeColor="text1"/>
          <w:sz w:val="32"/>
          <w:szCs w:val="32"/>
        </w:rPr>
        <w:t>第十三条</w:t>
      </w:r>
      <w:r w:rsidRPr="001C5AFF">
        <w:rPr>
          <w:rFonts w:ascii="Times New Roman" w:eastAsia="仿宋_GB2312" w:hAnsi="Times New Roman"/>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本规定由省机关事务管理局房地产管理处负责解释。</w:t>
      </w:r>
    </w:p>
    <w:p w:rsidR="00FB4A6E" w:rsidRPr="0030449B" w:rsidRDefault="001C5AFF" w:rsidP="0030449B">
      <w:pPr>
        <w:suppressAutoHyphens w:val="0"/>
        <w:overflowPunct w:val="0"/>
        <w:topLinePunct/>
        <w:adjustRightInd w:val="0"/>
        <w:snapToGrid w:val="0"/>
        <w:spacing w:line="618" w:lineRule="exact"/>
        <w:ind w:firstLineChars="200" w:firstLine="640"/>
        <w:rPr>
          <w:rFonts w:ascii="宋体" w:eastAsia="仿宋_GB2312" w:hAnsi="宋体"/>
          <w:color w:val="000000" w:themeColor="text1"/>
          <w:sz w:val="32"/>
          <w:szCs w:val="32"/>
          <w:shd w:val="clear" w:color="auto" w:fill="FFFFFF"/>
        </w:rPr>
      </w:pPr>
      <w:r w:rsidRPr="001C5AFF">
        <w:rPr>
          <w:rFonts w:ascii="宋体" w:eastAsia="黑体" w:hAnsi="宋体" w:hint="eastAsia"/>
          <w:color w:val="000000" w:themeColor="text1"/>
          <w:sz w:val="32"/>
          <w:szCs w:val="32"/>
        </w:rPr>
        <w:lastRenderedPageBreak/>
        <w:t>第十四条</w:t>
      </w:r>
      <w:r w:rsidRPr="001C5AFF">
        <w:rPr>
          <w:rFonts w:ascii="宋体" w:eastAsia="仿宋_GB2312" w:hAnsi="宋体" w:hint="eastAsia"/>
          <w:color w:val="000000" w:themeColor="text1"/>
          <w:sz w:val="32"/>
          <w:szCs w:val="32"/>
          <w:shd w:val="clear" w:color="auto" w:fill="FFFFFF"/>
        </w:rPr>
        <w:t xml:space="preserve">  </w:t>
      </w:r>
      <w:r w:rsidRPr="0030449B">
        <w:rPr>
          <w:rFonts w:ascii="仿宋" w:eastAsia="仿宋" w:hAnsi="仿宋" w:hint="eastAsia"/>
          <w:color w:val="000000" w:themeColor="text1"/>
          <w:sz w:val="32"/>
          <w:szCs w:val="32"/>
          <w:shd w:val="clear" w:color="auto" w:fill="FFFFFF"/>
        </w:rPr>
        <w:t>本规定自2021年9月24日起施行。</w:t>
      </w:r>
    </w:p>
    <w:sectPr w:rsidR="00FB4A6E" w:rsidRPr="0030449B" w:rsidSect="000364F5">
      <w:headerReference w:type="even" r:id="rId7"/>
      <w:headerReference w:type="default" r:id="rId8"/>
      <w:footerReference w:type="even" r:id="rId9"/>
      <w:footerReference w:type="default" r:id="rId10"/>
      <w:pgSz w:w="11906" w:h="16838" w:code="9"/>
      <w:pgMar w:top="1928" w:right="1531" w:bottom="1871" w:left="1531" w:header="1418"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74" w:rsidRDefault="00833174">
      <w:pPr>
        <w:rPr>
          <w:rFonts w:hint="eastAsia"/>
        </w:rPr>
      </w:pPr>
      <w:r>
        <w:separator/>
      </w:r>
    </w:p>
  </w:endnote>
  <w:endnote w:type="continuationSeparator" w:id="0">
    <w:p w:rsidR="00833174" w:rsidRDefault="008331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Pr="00FB4A6E" w:rsidRDefault="00A969CD" w:rsidP="00FB4A6E">
    <w:pPr>
      <w:pStyle w:val="a3"/>
      <w:jc w:val="both"/>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F7A71" w:rsidRPr="007F7A71">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3"/>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F7A71" w:rsidRPr="007F7A71">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74" w:rsidRDefault="00833174">
      <w:pPr>
        <w:rPr>
          <w:rFonts w:hint="eastAsia"/>
        </w:rPr>
      </w:pPr>
      <w:r>
        <w:separator/>
      </w:r>
    </w:p>
  </w:footnote>
  <w:footnote w:type="continuationSeparator" w:id="0">
    <w:p w:rsidR="00833174" w:rsidRDefault="0083317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5"/>
      <w:pBdr>
        <w:bottom w:val="none" w:sz="0" w:space="0" w:color="auto"/>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46764B">
    <w:pPr>
      <w:pStyle w:val="a5"/>
      <w:pBdr>
        <w:bottom w:val="none" w:sz="0" w:space="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1"/>
    <w:rsid w:val="000364F5"/>
    <w:rsid w:val="00077B8F"/>
    <w:rsid w:val="00106C6A"/>
    <w:rsid w:val="001337FA"/>
    <w:rsid w:val="001B55DE"/>
    <w:rsid w:val="001C5AFF"/>
    <w:rsid w:val="002222BD"/>
    <w:rsid w:val="00273785"/>
    <w:rsid w:val="00284094"/>
    <w:rsid w:val="002F400E"/>
    <w:rsid w:val="0030449B"/>
    <w:rsid w:val="003340B7"/>
    <w:rsid w:val="003664B8"/>
    <w:rsid w:val="003F2299"/>
    <w:rsid w:val="00435F44"/>
    <w:rsid w:val="00462FA7"/>
    <w:rsid w:val="0046764B"/>
    <w:rsid w:val="004979DA"/>
    <w:rsid w:val="004A61CE"/>
    <w:rsid w:val="00574F0D"/>
    <w:rsid w:val="005A3253"/>
    <w:rsid w:val="005C2620"/>
    <w:rsid w:val="006677E7"/>
    <w:rsid w:val="006C6609"/>
    <w:rsid w:val="006E3A1F"/>
    <w:rsid w:val="00723046"/>
    <w:rsid w:val="007E2205"/>
    <w:rsid w:val="007F7A71"/>
    <w:rsid w:val="00800233"/>
    <w:rsid w:val="00833174"/>
    <w:rsid w:val="008505D5"/>
    <w:rsid w:val="00864002"/>
    <w:rsid w:val="00890EF9"/>
    <w:rsid w:val="008F3A89"/>
    <w:rsid w:val="00936AA7"/>
    <w:rsid w:val="00947C9F"/>
    <w:rsid w:val="00993581"/>
    <w:rsid w:val="009D191C"/>
    <w:rsid w:val="009E733C"/>
    <w:rsid w:val="00A57321"/>
    <w:rsid w:val="00A646C8"/>
    <w:rsid w:val="00A77FE1"/>
    <w:rsid w:val="00A969CD"/>
    <w:rsid w:val="00B86BE5"/>
    <w:rsid w:val="00BC28C7"/>
    <w:rsid w:val="00CE39FA"/>
    <w:rsid w:val="00D45221"/>
    <w:rsid w:val="00D639C2"/>
    <w:rsid w:val="00E60E6D"/>
    <w:rsid w:val="00E7713D"/>
    <w:rsid w:val="00E81C9A"/>
    <w:rsid w:val="00EB4DE5"/>
    <w:rsid w:val="00ED2B04"/>
    <w:rsid w:val="00EE2C2B"/>
    <w:rsid w:val="00FB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21">
      <w:bodyDiv w:val="1"/>
      <w:marLeft w:val="0"/>
      <w:marRight w:val="0"/>
      <w:marTop w:val="0"/>
      <w:marBottom w:val="0"/>
      <w:divBdr>
        <w:top w:val="none" w:sz="0" w:space="0" w:color="auto"/>
        <w:left w:val="none" w:sz="0" w:space="0" w:color="auto"/>
        <w:bottom w:val="none" w:sz="0" w:space="0" w:color="auto"/>
        <w:right w:val="none" w:sz="0" w:space="0" w:color="auto"/>
      </w:divBdr>
    </w:div>
    <w:div w:id="214047834">
      <w:bodyDiv w:val="1"/>
      <w:marLeft w:val="0"/>
      <w:marRight w:val="0"/>
      <w:marTop w:val="0"/>
      <w:marBottom w:val="0"/>
      <w:divBdr>
        <w:top w:val="none" w:sz="0" w:space="0" w:color="auto"/>
        <w:left w:val="none" w:sz="0" w:space="0" w:color="auto"/>
        <w:bottom w:val="none" w:sz="0" w:space="0" w:color="auto"/>
        <w:right w:val="none" w:sz="0" w:space="0" w:color="auto"/>
      </w:divBdr>
    </w:div>
    <w:div w:id="225261086">
      <w:bodyDiv w:val="1"/>
      <w:marLeft w:val="0"/>
      <w:marRight w:val="0"/>
      <w:marTop w:val="0"/>
      <w:marBottom w:val="0"/>
      <w:divBdr>
        <w:top w:val="none" w:sz="0" w:space="0" w:color="auto"/>
        <w:left w:val="none" w:sz="0" w:space="0" w:color="auto"/>
        <w:bottom w:val="none" w:sz="0" w:space="0" w:color="auto"/>
        <w:right w:val="none" w:sz="0" w:space="0" w:color="auto"/>
      </w:divBdr>
    </w:div>
    <w:div w:id="408239318">
      <w:bodyDiv w:val="1"/>
      <w:marLeft w:val="0"/>
      <w:marRight w:val="0"/>
      <w:marTop w:val="0"/>
      <w:marBottom w:val="0"/>
      <w:divBdr>
        <w:top w:val="none" w:sz="0" w:space="0" w:color="auto"/>
        <w:left w:val="none" w:sz="0" w:space="0" w:color="auto"/>
        <w:bottom w:val="none" w:sz="0" w:space="0" w:color="auto"/>
        <w:right w:val="none" w:sz="0" w:space="0" w:color="auto"/>
      </w:divBdr>
    </w:div>
    <w:div w:id="762342992">
      <w:bodyDiv w:val="1"/>
      <w:marLeft w:val="0"/>
      <w:marRight w:val="0"/>
      <w:marTop w:val="0"/>
      <w:marBottom w:val="0"/>
      <w:divBdr>
        <w:top w:val="none" w:sz="0" w:space="0" w:color="auto"/>
        <w:left w:val="none" w:sz="0" w:space="0" w:color="auto"/>
        <w:bottom w:val="none" w:sz="0" w:space="0" w:color="auto"/>
        <w:right w:val="none" w:sz="0" w:space="0" w:color="auto"/>
      </w:divBdr>
    </w:div>
    <w:div w:id="811479170">
      <w:bodyDiv w:val="1"/>
      <w:marLeft w:val="0"/>
      <w:marRight w:val="0"/>
      <w:marTop w:val="0"/>
      <w:marBottom w:val="0"/>
      <w:divBdr>
        <w:top w:val="none" w:sz="0" w:space="0" w:color="auto"/>
        <w:left w:val="none" w:sz="0" w:space="0" w:color="auto"/>
        <w:bottom w:val="none" w:sz="0" w:space="0" w:color="auto"/>
        <w:right w:val="none" w:sz="0" w:space="0" w:color="auto"/>
      </w:divBdr>
    </w:div>
    <w:div w:id="1186022373">
      <w:bodyDiv w:val="1"/>
      <w:marLeft w:val="0"/>
      <w:marRight w:val="0"/>
      <w:marTop w:val="0"/>
      <w:marBottom w:val="0"/>
      <w:divBdr>
        <w:top w:val="none" w:sz="0" w:space="0" w:color="auto"/>
        <w:left w:val="none" w:sz="0" w:space="0" w:color="auto"/>
        <w:bottom w:val="none" w:sz="0" w:space="0" w:color="auto"/>
        <w:right w:val="none" w:sz="0" w:space="0" w:color="auto"/>
      </w:divBdr>
    </w:div>
    <w:div w:id="1256477300">
      <w:bodyDiv w:val="1"/>
      <w:marLeft w:val="0"/>
      <w:marRight w:val="0"/>
      <w:marTop w:val="0"/>
      <w:marBottom w:val="0"/>
      <w:divBdr>
        <w:top w:val="none" w:sz="0" w:space="0" w:color="auto"/>
        <w:left w:val="none" w:sz="0" w:space="0" w:color="auto"/>
        <w:bottom w:val="none" w:sz="0" w:space="0" w:color="auto"/>
        <w:right w:val="none" w:sz="0" w:space="0" w:color="auto"/>
      </w:divBdr>
    </w:div>
    <w:div w:id="1329560025">
      <w:bodyDiv w:val="1"/>
      <w:marLeft w:val="0"/>
      <w:marRight w:val="0"/>
      <w:marTop w:val="0"/>
      <w:marBottom w:val="0"/>
      <w:divBdr>
        <w:top w:val="none" w:sz="0" w:space="0" w:color="auto"/>
        <w:left w:val="none" w:sz="0" w:space="0" w:color="auto"/>
        <w:bottom w:val="none" w:sz="0" w:space="0" w:color="auto"/>
        <w:right w:val="none" w:sz="0" w:space="0" w:color="auto"/>
      </w:divBdr>
    </w:div>
    <w:div w:id="1657764404">
      <w:bodyDiv w:val="1"/>
      <w:marLeft w:val="0"/>
      <w:marRight w:val="0"/>
      <w:marTop w:val="0"/>
      <w:marBottom w:val="0"/>
      <w:divBdr>
        <w:top w:val="none" w:sz="0" w:space="0" w:color="auto"/>
        <w:left w:val="none" w:sz="0" w:space="0" w:color="auto"/>
        <w:bottom w:val="none" w:sz="0" w:space="0" w:color="auto"/>
        <w:right w:val="none" w:sz="0" w:space="0" w:color="auto"/>
      </w:divBdr>
    </w:div>
    <w:div w:id="1895198763">
      <w:bodyDiv w:val="1"/>
      <w:marLeft w:val="0"/>
      <w:marRight w:val="0"/>
      <w:marTop w:val="0"/>
      <w:marBottom w:val="0"/>
      <w:divBdr>
        <w:top w:val="none" w:sz="0" w:space="0" w:color="auto"/>
        <w:left w:val="none" w:sz="0" w:space="0" w:color="auto"/>
        <w:bottom w:val="none" w:sz="0" w:space="0" w:color="auto"/>
        <w:right w:val="none" w:sz="0" w:space="0" w:color="auto"/>
      </w:divBdr>
    </w:div>
    <w:div w:id="1900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SRDYSC</dc:creator>
  <cp:lastModifiedBy>Administrator</cp:lastModifiedBy>
  <cp:revision>2</cp:revision>
  <cp:lastPrinted>2022-03-25T08:00:00Z</cp:lastPrinted>
  <dcterms:created xsi:type="dcterms:W3CDTF">2023-04-14T02:37:00Z</dcterms:created>
  <dcterms:modified xsi:type="dcterms:W3CDTF">2023-04-14T02:37:00Z</dcterms:modified>
</cp:coreProperties>
</file>