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numPr>
          <w:ilvl w:val="0"/>
          <w:numId w:val="0"/>
        </w:numPr>
        <w:jc w:val="center"/>
        <w:rPr>
          <w:rFonts w:hint="eastAsia" w:ascii="新宋体" w:hAnsi="新宋体" w:eastAsia="新宋体" w:cs="新宋体"/>
          <w:sz w:val="44"/>
          <w:szCs w:val="44"/>
          <w:lang w:val="en-US" w:eastAsia="zh-CN"/>
        </w:rPr>
      </w:pPr>
      <w:r>
        <w:rPr>
          <w:rFonts w:hint="eastAsia" w:ascii="新宋体" w:hAnsi="新宋体" w:eastAsia="新宋体" w:cs="新宋体"/>
          <w:sz w:val="44"/>
          <w:szCs w:val="44"/>
          <w:lang w:val="en-US" w:eastAsia="zh-CN"/>
        </w:rPr>
        <w:t>公务卡用户</w:t>
      </w:r>
      <w:bookmarkStart w:id="0" w:name="_GoBack"/>
      <w:bookmarkEnd w:id="0"/>
      <w:r>
        <w:rPr>
          <w:rFonts w:hint="eastAsia" w:ascii="新宋体" w:hAnsi="新宋体" w:eastAsia="新宋体" w:cs="新宋体"/>
          <w:sz w:val="44"/>
          <w:szCs w:val="44"/>
          <w:lang w:val="en-US" w:eastAsia="zh-CN"/>
        </w:rPr>
        <w:t>常见问题及解决办法</w:t>
      </w:r>
    </w:p>
    <w:p>
      <w:pPr>
        <w:pStyle w:val="8"/>
        <w:numPr>
          <w:ilvl w:val="0"/>
          <w:numId w:val="0"/>
        </w:numPr>
        <w:jc w:val="center"/>
        <w:rPr>
          <w:rFonts w:hint="eastAsia" w:ascii="新宋体" w:hAnsi="新宋体" w:eastAsia="新宋体" w:cs="新宋体"/>
          <w:sz w:val="44"/>
          <w:szCs w:val="44"/>
          <w:lang w:val="en-US" w:eastAsia="zh-CN"/>
        </w:rPr>
      </w:pPr>
    </w:p>
    <w:p>
      <w:pPr>
        <w:pStyle w:val="8"/>
        <w:numPr>
          <w:ilvl w:val="0"/>
          <w:numId w:val="0"/>
        </w:numPr>
        <w:rPr>
          <w:rFonts w:hint="eastAsia"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一．公务卡信息维护模板导入</w:t>
      </w:r>
    </w:p>
    <w:p>
      <w:pPr>
        <w:pStyle w:val="8"/>
        <w:numPr>
          <w:ilvl w:val="0"/>
          <w:numId w:val="0"/>
        </w:numPr>
        <w:rPr>
          <w:rFonts w:hint="eastAsia"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1.点击公务卡信息维护进行导入模板，需在门户网站上下载导入模板，文件下载位置在门户网站相关下载：</w:t>
      </w:r>
    </w:p>
    <w:p>
      <w:pPr>
        <w:pStyle w:val="8"/>
        <w:numPr>
          <w:ilvl w:val="0"/>
          <w:numId w:val="0"/>
        </w:numPr>
        <w:rPr>
          <w:rFonts w:hint="eastAsia" w:ascii="新宋体" w:hAnsi="新宋体" w:eastAsia="新宋体" w:cs="新宋体"/>
          <w:sz w:val="28"/>
          <w:szCs w:val="28"/>
        </w:rPr>
      </w:pPr>
      <w:r>
        <w:rPr>
          <w:rFonts w:hint="eastAsia" w:ascii="新宋体" w:hAnsi="新宋体" w:eastAsia="新宋体" w:cs="新宋体"/>
          <w:sz w:val="28"/>
          <w:szCs w:val="28"/>
        </w:rPr>
        <w:drawing>
          <wp:inline distT="0" distB="0" distL="114300" distR="114300">
            <wp:extent cx="5166360" cy="2186940"/>
            <wp:effectExtent l="0" t="0" r="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166360" cy="2186940"/>
                    </a:xfrm>
                    <a:prstGeom prst="rect">
                      <a:avLst/>
                    </a:prstGeom>
                    <a:noFill/>
                    <a:ln>
                      <a:noFill/>
                    </a:ln>
                  </pic:spPr>
                </pic:pic>
              </a:graphicData>
            </a:graphic>
          </wp:inline>
        </w:drawing>
      </w:r>
    </w:p>
    <w:p>
      <w:pPr>
        <w:pStyle w:val="8"/>
        <w:numPr>
          <w:ilvl w:val="0"/>
          <w:numId w:val="0"/>
        </w:numPr>
        <w:rPr>
          <w:rFonts w:hint="eastAsia" w:ascii="新宋体" w:hAnsi="新宋体" w:eastAsia="新宋体" w:cs="新宋体"/>
          <w:sz w:val="28"/>
          <w:szCs w:val="28"/>
          <w:lang w:val="en-US" w:eastAsia="zh-CN"/>
        </w:rPr>
      </w:pPr>
    </w:p>
    <w:p>
      <w:pPr>
        <w:pStyle w:val="8"/>
        <w:numPr>
          <w:ilvl w:val="0"/>
          <w:numId w:val="0"/>
        </w:numPr>
        <w:rPr>
          <w:rFonts w:hint="eastAsia"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2.公务卡信息维护导入，系统提示如下：</w:t>
      </w:r>
    </w:p>
    <w:p>
      <w:pPr>
        <w:pStyle w:val="8"/>
        <w:numPr>
          <w:ilvl w:val="0"/>
          <w:numId w:val="0"/>
        </w:numPr>
        <w:ind w:leftChars="0"/>
        <w:rPr>
          <w:rFonts w:hint="eastAsia"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drawing>
          <wp:inline distT="0" distB="0" distL="114300" distR="114300">
            <wp:extent cx="3649980" cy="2194560"/>
            <wp:effectExtent l="0" t="0" r="7620" b="0"/>
            <wp:docPr id="6" name="图片 6" descr="1612148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612148214(1)"/>
                    <pic:cNvPicPr>
                      <a:picLocks noChangeAspect="1"/>
                    </pic:cNvPicPr>
                  </pic:nvPicPr>
                  <pic:blipFill>
                    <a:blip r:embed="rId5"/>
                    <a:stretch>
                      <a:fillRect/>
                    </a:stretch>
                  </pic:blipFill>
                  <pic:spPr>
                    <a:xfrm>
                      <a:off x="0" y="0"/>
                      <a:ext cx="3649980" cy="2194560"/>
                    </a:xfrm>
                    <a:prstGeom prst="rect">
                      <a:avLst/>
                    </a:prstGeom>
                  </pic:spPr>
                </pic:pic>
              </a:graphicData>
            </a:graphic>
          </wp:inline>
        </w:drawing>
      </w:r>
    </w:p>
    <w:p>
      <w:pPr>
        <w:pStyle w:val="8"/>
        <w:numPr>
          <w:ilvl w:val="0"/>
          <w:numId w:val="0"/>
        </w:numPr>
        <w:ind w:leftChars="0"/>
        <w:rPr>
          <w:rFonts w:hint="eastAsia"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原因：</w:t>
      </w:r>
    </w:p>
    <w:p>
      <w:pPr>
        <w:pStyle w:val="8"/>
        <w:numPr>
          <w:ilvl w:val="0"/>
          <w:numId w:val="0"/>
        </w:numPr>
        <w:rPr>
          <w:rFonts w:hint="default"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（1.）导入模板中有重复的人员卡号信息，请检查模板重新进行导入。</w:t>
      </w:r>
    </w:p>
    <w:p>
      <w:pPr>
        <w:pStyle w:val="8"/>
        <w:numPr>
          <w:ilvl w:val="0"/>
          <w:numId w:val="0"/>
        </w:numPr>
        <w:ind w:leftChars="0"/>
        <w:rPr>
          <w:rFonts w:hint="eastAsia" w:eastAsiaTheme="minorEastAsia"/>
          <w:lang w:eastAsia="zh-CN"/>
        </w:rPr>
      </w:pPr>
      <w:r>
        <w:drawing>
          <wp:inline distT="0" distB="0" distL="114300" distR="114300">
            <wp:extent cx="3246120" cy="149352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6"/>
                    <a:stretch>
                      <a:fillRect/>
                    </a:stretch>
                  </pic:blipFill>
                  <pic:spPr>
                    <a:xfrm>
                      <a:off x="0" y="0"/>
                      <a:ext cx="3246120" cy="1493520"/>
                    </a:xfrm>
                    <a:prstGeom prst="rect">
                      <a:avLst/>
                    </a:prstGeom>
                    <a:noFill/>
                    <a:ln>
                      <a:noFill/>
                    </a:ln>
                  </pic:spPr>
                </pic:pic>
              </a:graphicData>
            </a:graphic>
          </wp:inline>
        </w:drawing>
      </w:r>
      <w:r>
        <w:rPr>
          <w:rFonts w:hint="eastAsia" w:eastAsiaTheme="minorEastAsia"/>
          <w:lang w:eastAsia="zh-CN"/>
        </w:rPr>
        <w:drawing>
          <wp:inline distT="0" distB="0" distL="114300" distR="114300">
            <wp:extent cx="4785360" cy="2598420"/>
            <wp:effectExtent l="0" t="0" r="0" b="7620"/>
            <wp:docPr id="8" name="图片 8" descr="1612149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12149245(1)"/>
                    <pic:cNvPicPr>
                      <a:picLocks noChangeAspect="1"/>
                    </pic:cNvPicPr>
                  </pic:nvPicPr>
                  <pic:blipFill>
                    <a:blip r:embed="rId7"/>
                    <a:stretch>
                      <a:fillRect/>
                    </a:stretch>
                  </pic:blipFill>
                  <pic:spPr>
                    <a:xfrm>
                      <a:off x="0" y="0"/>
                      <a:ext cx="4785360" cy="2598420"/>
                    </a:xfrm>
                    <a:prstGeom prst="rect">
                      <a:avLst/>
                    </a:prstGeom>
                  </pic:spPr>
                </pic:pic>
              </a:graphicData>
            </a:graphic>
          </wp:inline>
        </w:drawing>
      </w:r>
    </w:p>
    <w:p>
      <w:pPr>
        <w:pStyle w:val="8"/>
        <w:numPr>
          <w:ilvl w:val="0"/>
          <w:numId w:val="0"/>
        </w:numPr>
        <w:ind w:leftChars="0"/>
        <w:rPr>
          <w:rFonts w:hint="eastAsia" w:eastAsiaTheme="minorEastAsia"/>
          <w:lang w:eastAsia="zh-CN"/>
        </w:rPr>
      </w:pPr>
      <w:r>
        <w:rPr>
          <w:rFonts w:hint="eastAsia" w:eastAsiaTheme="minorEastAsia"/>
          <w:lang w:eastAsia="zh-CN"/>
        </w:rPr>
        <w:drawing>
          <wp:inline distT="0" distB="0" distL="114300" distR="114300">
            <wp:extent cx="4578985" cy="2153920"/>
            <wp:effectExtent l="0" t="0" r="8255" b="10160"/>
            <wp:docPr id="9" name="图片 9" descr="16121504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612150423(1)"/>
                    <pic:cNvPicPr>
                      <a:picLocks noChangeAspect="1"/>
                    </pic:cNvPicPr>
                  </pic:nvPicPr>
                  <pic:blipFill>
                    <a:blip r:embed="rId8"/>
                    <a:stretch>
                      <a:fillRect/>
                    </a:stretch>
                  </pic:blipFill>
                  <pic:spPr>
                    <a:xfrm>
                      <a:off x="0" y="0"/>
                      <a:ext cx="4578985" cy="2153920"/>
                    </a:xfrm>
                    <a:prstGeom prst="rect">
                      <a:avLst/>
                    </a:prstGeom>
                  </pic:spPr>
                </pic:pic>
              </a:graphicData>
            </a:graphic>
          </wp:inline>
        </w:drawing>
      </w:r>
    </w:p>
    <w:p>
      <w:pPr>
        <w:pStyle w:val="8"/>
        <w:numPr>
          <w:ilvl w:val="0"/>
          <w:numId w:val="0"/>
        </w:numPr>
        <w:ind w:leftChars="0"/>
        <w:rPr>
          <w:rFonts w:hint="eastAsia"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原因：模板格式信息有误</w:t>
      </w:r>
    </w:p>
    <w:p>
      <w:pPr>
        <w:pStyle w:val="8"/>
        <w:numPr>
          <w:ilvl w:val="0"/>
          <w:numId w:val="0"/>
        </w:numPr>
        <w:ind w:leftChars="0"/>
        <w:rPr>
          <w:rFonts w:hint="eastAsia"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请核实：</w:t>
      </w:r>
    </w:p>
    <w:p>
      <w:pPr>
        <w:pStyle w:val="8"/>
        <w:numPr>
          <w:ilvl w:val="0"/>
          <w:numId w:val="0"/>
        </w:numPr>
        <w:rPr>
          <w:rFonts w:hint="eastAsia"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（1）表格中信息如果是从别的表格中复制过来的，检查模板是否是文本格式。</w:t>
      </w:r>
    </w:p>
    <w:p>
      <w:pPr>
        <w:pStyle w:val="8"/>
        <w:numPr>
          <w:ilvl w:val="0"/>
          <w:numId w:val="0"/>
        </w:numPr>
        <w:rPr>
          <w:rFonts w:hint="default"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（2）检查复制过来的数据或是自己进行录入的，是否有空格或者空行，请进行删除。</w:t>
      </w:r>
    </w:p>
    <w:p>
      <w:pPr>
        <w:pStyle w:val="8"/>
        <w:numPr>
          <w:ilvl w:val="0"/>
          <w:numId w:val="0"/>
        </w:numPr>
        <w:rPr>
          <w:rFonts w:hint="default" w:ascii="新宋体" w:hAnsi="新宋体" w:eastAsia="新宋体" w:cs="新宋体"/>
          <w:sz w:val="28"/>
          <w:szCs w:val="28"/>
          <w:lang w:val="en-US" w:eastAsia="zh-CN"/>
        </w:rPr>
      </w:pPr>
      <w:r>
        <w:rPr>
          <w:rFonts w:hint="eastAsia" w:ascii="新宋体" w:hAnsi="新宋体" w:eastAsia="新宋体" w:cs="新宋体"/>
          <w:sz w:val="28"/>
          <w:szCs w:val="28"/>
          <w:lang w:val="en-US" w:eastAsia="zh-CN"/>
        </w:rPr>
        <w:t>（3）请仔细检查表格中是否有重复的人员卡号信息，请进行删除或修改。</w:t>
      </w:r>
    </w:p>
    <w:p>
      <w:pPr>
        <w:pStyle w:val="8"/>
        <w:numPr>
          <w:ilvl w:val="0"/>
          <w:numId w:val="0"/>
        </w:numPr>
        <w:ind w:leftChars="0"/>
        <w:rPr>
          <w:rFonts w:hint="eastAsia" w:ascii="新宋体" w:hAnsi="新宋体" w:eastAsia="新宋体" w:cs="新宋体"/>
          <w:sz w:val="28"/>
          <w:szCs w:val="28"/>
        </w:rPr>
      </w:pPr>
      <w:r>
        <w:rPr>
          <w:rFonts w:hint="eastAsia" w:ascii="新宋体" w:hAnsi="新宋体" w:eastAsia="新宋体" w:cs="新宋体"/>
          <w:sz w:val="28"/>
          <w:szCs w:val="28"/>
          <w:lang w:val="en-US" w:eastAsia="zh-CN"/>
        </w:rPr>
        <w:t>一．</w:t>
      </w:r>
      <w:r>
        <w:rPr>
          <w:rFonts w:hint="eastAsia" w:ascii="新宋体" w:hAnsi="新宋体" w:eastAsia="新宋体" w:cs="新宋体"/>
          <w:sz w:val="28"/>
          <w:szCs w:val="28"/>
        </w:rPr>
        <w:t>数据摆渡盘读取</w:t>
      </w:r>
    </w:p>
    <w:p>
      <w:pPr>
        <w:rPr>
          <w:rFonts w:hint="default" w:ascii="新宋体" w:hAnsi="新宋体" w:eastAsia="新宋体" w:cs="新宋体"/>
          <w:sz w:val="28"/>
          <w:szCs w:val="28"/>
          <w:lang w:val="en-US" w:eastAsia="zh-CN"/>
        </w:rPr>
      </w:pPr>
      <w:r>
        <w:rPr>
          <w:rFonts w:hint="eastAsia" w:ascii="新宋体" w:hAnsi="新宋体" w:eastAsia="新宋体" w:cs="新宋体"/>
          <w:sz w:val="28"/>
          <w:szCs w:val="28"/>
        </w:rPr>
        <w:t>1、点击读取摆渡盘，系统提示如下</w:t>
      </w:r>
      <w:r>
        <w:rPr>
          <w:rFonts w:hint="eastAsia" w:ascii="新宋体" w:hAnsi="新宋体" w:eastAsia="新宋体" w:cs="新宋体"/>
          <w:sz w:val="28"/>
          <w:szCs w:val="28"/>
          <w:lang w:val="en-US" w:eastAsia="zh-CN"/>
        </w:rPr>
        <w:t>或摆渡盘读取之后为空：</w:t>
      </w:r>
    </w:p>
    <w:p>
      <w:pPr>
        <w:rPr>
          <w:rFonts w:hint="eastAsia" w:ascii="新宋体" w:hAnsi="新宋体" w:eastAsia="新宋体" w:cs="新宋体"/>
          <w:sz w:val="28"/>
          <w:szCs w:val="28"/>
        </w:rPr>
      </w:pPr>
      <w:r>
        <w:rPr>
          <w:rFonts w:hint="eastAsia" w:ascii="新宋体" w:hAnsi="新宋体" w:eastAsia="新宋体" w:cs="新宋体"/>
          <w:sz w:val="28"/>
          <w:szCs w:val="28"/>
        </w:rPr>
        <w:drawing>
          <wp:inline distT="0" distB="0" distL="0" distR="0">
            <wp:extent cx="3199765" cy="2132965"/>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3200000" cy="2133333"/>
                    </a:xfrm>
                    <a:prstGeom prst="rect">
                      <a:avLst/>
                    </a:prstGeom>
                  </pic:spPr>
                </pic:pic>
              </a:graphicData>
            </a:graphic>
          </wp:inline>
        </w:drawing>
      </w:r>
    </w:p>
    <w:p>
      <w:pPr>
        <w:rPr>
          <w:rFonts w:hint="eastAsia" w:ascii="新宋体" w:hAnsi="新宋体" w:eastAsia="新宋体" w:cs="新宋体"/>
          <w:sz w:val="28"/>
          <w:szCs w:val="28"/>
          <w:lang w:eastAsia="zh-CN"/>
        </w:rPr>
      </w:pPr>
      <w:r>
        <w:rPr>
          <w:rFonts w:hint="eastAsia" w:ascii="新宋体" w:hAnsi="新宋体" w:eastAsia="新宋体" w:cs="新宋体"/>
          <w:sz w:val="28"/>
          <w:szCs w:val="28"/>
          <w:lang w:eastAsia="zh-CN"/>
        </w:rPr>
        <w:drawing>
          <wp:inline distT="0" distB="0" distL="114300" distR="114300">
            <wp:extent cx="5271135" cy="1778635"/>
            <wp:effectExtent l="0" t="0" r="1905" b="4445"/>
            <wp:docPr id="10" name="图片 10" descr="161215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12150471"/>
                    <pic:cNvPicPr>
                      <a:picLocks noChangeAspect="1"/>
                    </pic:cNvPicPr>
                  </pic:nvPicPr>
                  <pic:blipFill>
                    <a:blip r:embed="rId10"/>
                    <a:stretch>
                      <a:fillRect/>
                    </a:stretch>
                  </pic:blipFill>
                  <pic:spPr>
                    <a:xfrm>
                      <a:off x="0" y="0"/>
                      <a:ext cx="5271135" cy="1778635"/>
                    </a:xfrm>
                    <a:prstGeom prst="rect">
                      <a:avLst/>
                    </a:prstGeom>
                  </pic:spPr>
                </pic:pic>
              </a:graphicData>
            </a:graphic>
          </wp:inline>
        </w:drawing>
      </w:r>
    </w:p>
    <w:p>
      <w:pPr>
        <w:rPr>
          <w:rFonts w:hint="eastAsia" w:ascii="新宋体" w:hAnsi="新宋体" w:eastAsia="新宋体" w:cs="新宋体"/>
          <w:sz w:val="28"/>
          <w:szCs w:val="28"/>
        </w:rPr>
      </w:pPr>
      <w:r>
        <w:rPr>
          <w:rFonts w:hint="eastAsia" w:ascii="新宋体" w:hAnsi="新宋体" w:eastAsia="新宋体" w:cs="新宋体"/>
          <w:sz w:val="28"/>
          <w:szCs w:val="28"/>
        </w:rPr>
        <w:t>原因：</w:t>
      </w:r>
    </w:p>
    <w:p>
      <w:pPr>
        <w:rPr>
          <w:rFonts w:hint="eastAsia" w:ascii="新宋体" w:hAnsi="新宋体" w:eastAsia="新宋体" w:cs="新宋体"/>
          <w:sz w:val="28"/>
          <w:szCs w:val="28"/>
        </w:rPr>
      </w:pPr>
      <w:r>
        <w:rPr>
          <w:rFonts w:hint="eastAsia" w:ascii="新宋体" w:hAnsi="新宋体" w:eastAsia="新宋体" w:cs="新宋体"/>
          <w:sz w:val="28"/>
          <w:szCs w:val="28"/>
        </w:rPr>
        <w:t>（1） 确实没有安装摆渡盘读取插件，或安装的插件版本不正确；</w:t>
      </w:r>
    </w:p>
    <w:p>
      <w:pPr>
        <w:rPr>
          <w:rFonts w:hint="eastAsia" w:ascii="新宋体" w:hAnsi="新宋体" w:eastAsia="新宋体" w:cs="新宋体"/>
          <w:sz w:val="28"/>
          <w:szCs w:val="28"/>
        </w:rPr>
      </w:pPr>
      <w:r>
        <w:rPr>
          <w:rFonts w:hint="eastAsia" w:ascii="新宋体" w:hAnsi="新宋体" w:eastAsia="新宋体" w:cs="新宋体"/>
          <w:sz w:val="28"/>
          <w:szCs w:val="28"/>
        </w:rPr>
        <w:t>（2） 摆渡盘内支付文件导出到本地，导致摆渡盘内无支付文件；     （3）摆渡盘内支付文件对应的预算单位编码与一体化用户所属机构的编码不一致（本单位用户只能用本单位摆渡盘，读取本单位的报销单）；</w:t>
      </w:r>
    </w:p>
    <w:p>
      <w:pPr>
        <w:rPr>
          <w:rFonts w:hint="eastAsia" w:ascii="新宋体" w:hAnsi="新宋体" w:eastAsia="新宋体" w:cs="新宋体"/>
          <w:sz w:val="28"/>
          <w:szCs w:val="28"/>
        </w:rPr>
      </w:pPr>
      <w:r>
        <w:rPr>
          <w:rFonts w:hint="eastAsia" w:ascii="新宋体" w:hAnsi="新宋体" w:eastAsia="新宋体" w:cs="新宋体"/>
          <w:sz w:val="28"/>
          <w:szCs w:val="28"/>
        </w:rPr>
        <w:t>请核实：</w:t>
      </w:r>
    </w:p>
    <w:p>
      <w:pPr>
        <w:rPr>
          <w:rFonts w:hint="eastAsia" w:ascii="新宋体" w:hAnsi="新宋体" w:eastAsia="新宋体" w:cs="新宋体"/>
          <w:sz w:val="28"/>
          <w:szCs w:val="28"/>
        </w:rPr>
      </w:pPr>
      <w:r>
        <w:rPr>
          <w:rFonts w:hint="eastAsia" w:ascii="新宋体" w:hAnsi="新宋体" w:eastAsia="新宋体" w:cs="新宋体"/>
          <w:sz w:val="28"/>
          <w:szCs w:val="28"/>
        </w:rPr>
        <w:t>（1）摆渡盘读取插件是否正确安装；</w:t>
      </w:r>
    </w:p>
    <w:p>
      <w:pPr>
        <w:rPr>
          <w:rFonts w:hint="eastAsia" w:ascii="新宋体" w:hAnsi="新宋体" w:eastAsia="新宋体" w:cs="新宋体"/>
          <w:sz w:val="28"/>
          <w:szCs w:val="28"/>
        </w:rPr>
      </w:pPr>
      <w:r>
        <w:rPr>
          <w:rFonts w:hint="eastAsia" w:ascii="新宋体" w:hAnsi="新宋体" w:eastAsia="新宋体" w:cs="新宋体"/>
          <w:sz w:val="28"/>
          <w:szCs w:val="28"/>
        </w:rPr>
        <w:t>（2）在公务之家凭证“会计电子原始凭证管理客户端”</w:t>
      </w:r>
      <w:r>
        <w:rPr>
          <w:rFonts w:hint="eastAsia" w:ascii="新宋体" w:hAnsi="新宋体" w:eastAsia="新宋体" w:cs="新宋体"/>
          <w:sz w:val="28"/>
          <w:szCs w:val="28"/>
        </w:rPr>
        <w:drawing>
          <wp:inline distT="0" distB="0" distL="0" distR="0">
            <wp:extent cx="1999615" cy="342265"/>
            <wp:effectExtent l="0" t="0" r="635"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2000000" cy="342857"/>
                    </a:xfrm>
                    <a:prstGeom prst="rect">
                      <a:avLst/>
                    </a:prstGeom>
                  </pic:spPr>
                </pic:pic>
              </a:graphicData>
            </a:graphic>
          </wp:inline>
        </w:drawing>
      </w:r>
      <w:r>
        <w:rPr>
          <w:rFonts w:hint="eastAsia" w:ascii="新宋体" w:hAnsi="新宋体" w:eastAsia="新宋体" w:cs="新宋体"/>
          <w:sz w:val="28"/>
          <w:szCs w:val="28"/>
        </w:rPr>
        <w:t>查看“支付文件”，是否存在；</w:t>
      </w:r>
    </w:p>
    <w:p>
      <w:pPr>
        <w:rPr>
          <w:rFonts w:hint="eastAsia" w:ascii="新宋体" w:hAnsi="新宋体" w:eastAsia="新宋体" w:cs="新宋体"/>
          <w:sz w:val="28"/>
          <w:szCs w:val="28"/>
        </w:rPr>
      </w:pPr>
      <w:r>
        <w:rPr>
          <w:rFonts w:hint="eastAsia" w:ascii="新宋体" w:hAnsi="新宋体" w:eastAsia="新宋体" w:cs="新宋体"/>
          <w:sz w:val="28"/>
          <w:szCs w:val="28"/>
        </w:rPr>
        <w:t>（3）查看报销单号的预算单位编码是否本单位，报销单号规则：例如报销单号为：</w:t>
      </w:r>
      <w:r>
        <w:rPr>
          <w:rFonts w:hint="eastAsia" w:ascii="新宋体" w:hAnsi="新宋体" w:eastAsia="新宋体" w:cs="新宋体"/>
          <w:sz w:val="28"/>
          <w:szCs w:val="28"/>
          <w:highlight w:val="yellow"/>
        </w:rPr>
        <w:t>BX</w:t>
      </w:r>
      <w:r>
        <w:rPr>
          <w:rFonts w:hint="eastAsia" w:ascii="新宋体" w:hAnsi="新宋体" w:eastAsia="新宋体" w:cs="新宋体"/>
          <w:sz w:val="28"/>
          <w:szCs w:val="28"/>
          <w:highlight w:val="cyan"/>
        </w:rPr>
        <w:t>530000</w:t>
      </w:r>
      <w:r>
        <w:rPr>
          <w:rFonts w:hint="eastAsia" w:ascii="新宋体" w:hAnsi="新宋体" w:eastAsia="新宋体" w:cs="新宋体"/>
          <w:sz w:val="28"/>
          <w:szCs w:val="28"/>
          <w:highlight w:val="red"/>
        </w:rPr>
        <w:t>101001</w:t>
      </w:r>
      <w:r>
        <w:rPr>
          <w:rFonts w:hint="eastAsia" w:ascii="新宋体" w:hAnsi="新宋体" w:eastAsia="新宋体" w:cs="新宋体"/>
          <w:sz w:val="28"/>
          <w:szCs w:val="28"/>
          <w:highlight w:val="darkGreen"/>
        </w:rPr>
        <w:t>2012</w:t>
      </w:r>
      <w:r>
        <w:rPr>
          <w:rFonts w:hint="eastAsia" w:ascii="新宋体" w:hAnsi="新宋体" w:eastAsia="新宋体" w:cs="新宋体"/>
          <w:sz w:val="28"/>
          <w:szCs w:val="28"/>
          <w:highlight w:val="lightGray"/>
        </w:rPr>
        <w:t>0001</w:t>
      </w:r>
      <w:r>
        <w:rPr>
          <w:rFonts w:hint="eastAsia" w:ascii="新宋体" w:hAnsi="新宋体" w:eastAsia="新宋体" w:cs="新宋体"/>
          <w:sz w:val="28"/>
          <w:szCs w:val="28"/>
        </w:rPr>
        <w:t xml:space="preserve"> </w:t>
      </w:r>
    </w:p>
    <w:p>
      <w:pPr>
        <w:rPr>
          <w:rFonts w:hint="eastAsia" w:ascii="新宋体" w:hAnsi="新宋体" w:eastAsia="新宋体" w:cs="新宋体"/>
          <w:sz w:val="28"/>
          <w:szCs w:val="28"/>
        </w:rPr>
      </w:pPr>
      <w:r>
        <w:rPr>
          <w:rFonts w:hint="eastAsia" w:ascii="新宋体" w:hAnsi="新宋体" w:eastAsia="新宋体" w:cs="新宋体"/>
          <w:sz w:val="28"/>
          <w:szCs w:val="28"/>
          <w:highlight w:val="cyan"/>
        </w:rPr>
        <w:t>530000</w:t>
      </w:r>
      <w:r>
        <w:rPr>
          <w:rFonts w:hint="eastAsia" w:ascii="新宋体" w:hAnsi="新宋体" w:eastAsia="新宋体" w:cs="新宋体"/>
          <w:sz w:val="28"/>
          <w:szCs w:val="28"/>
        </w:rPr>
        <w:t>：云南省本级区划编码，</w:t>
      </w:r>
    </w:p>
    <w:p>
      <w:pPr>
        <w:rPr>
          <w:rFonts w:hint="eastAsia" w:ascii="新宋体" w:hAnsi="新宋体" w:eastAsia="新宋体" w:cs="新宋体"/>
          <w:sz w:val="28"/>
          <w:szCs w:val="28"/>
        </w:rPr>
      </w:pPr>
      <w:r>
        <w:rPr>
          <w:rFonts w:hint="eastAsia" w:ascii="新宋体" w:hAnsi="新宋体" w:eastAsia="新宋体" w:cs="新宋体"/>
          <w:sz w:val="28"/>
          <w:szCs w:val="28"/>
          <w:highlight w:val="red"/>
        </w:rPr>
        <w:t>101001</w:t>
      </w:r>
      <w:r>
        <w:rPr>
          <w:rFonts w:hint="eastAsia" w:ascii="新宋体" w:hAnsi="新宋体" w:eastAsia="新宋体" w:cs="新宋体"/>
          <w:sz w:val="28"/>
          <w:szCs w:val="28"/>
        </w:rPr>
        <w:t>：预算单位编码，</w:t>
      </w:r>
    </w:p>
    <w:p>
      <w:pPr>
        <w:rPr>
          <w:rFonts w:hint="eastAsia" w:ascii="新宋体" w:hAnsi="新宋体" w:eastAsia="新宋体" w:cs="新宋体"/>
          <w:sz w:val="28"/>
          <w:szCs w:val="28"/>
        </w:rPr>
      </w:pPr>
      <w:r>
        <w:rPr>
          <w:rFonts w:hint="eastAsia" w:ascii="新宋体" w:hAnsi="新宋体" w:eastAsia="新宋体" w:cs="新宋体"/>
          <w:sz w:val="28"/>
          <w:szCs w:val="28"/>
          <w:highlight w:val="darkGreen"/>
        </w:rPr>
        <w:t>2012</w:t>
      </w:r>
      <w:r>
        <w:rPr>
          <w:rFonts w:hint="eastAsia" w:ascii="新宋体" w:hAnsi="新宋体" w:eastAsia="新宋体" w:cs="新宋体"/>
          <w:sz w:val="28"/>
          <w:szCs w:val="28"/>
        </w:rPr>
        <w:t>：2020年12月份，</w:t>
      </w:r>
    </w:p>
    <w:p>
      <w:pPr>
        <w:rPr>
          <w:rFonts w:hint="eastAsia" w:ascii="新宋体" w:hAnsi="新宋体" w:eastAsia="新宋体" w:cs="新宋体"/>
          <w:sz w:val="28"/>
          <w:szCs w:val="28"/>
        </w:rPr>
      </w:pPr>
      <w:r>
        <w:rPr>
          <w:rFonts w:hint="eastAsia" w:ascii="新宋体" w:hAnsi="新宋体" w:eastAsia="新宋体" w:cs="新宋体"/>
          <w:sz w:val="28"/>
          <w:szCs w:val="28"/>
          <w:highlight w:val="lightGray"/>
        </w:rPr>
        <w:t>0001</w:t>
      </w:r>
      <w:r>
        <w:rPr>
          <w:rFonts w:hint="eastAsia" w:ascii="新宋体" w:hAnsi="新宋体" w:eastAsia="新宋体" w:cs="新宋体"/>
          <w:sz w:val="28"/>
          <w:szCs w:val="28"/>
        </w:rPr>
        <w:t>：本月第一单报销。</w:t>
      </w:r>
    </w:p>
    <w:p>
      <w:pPr>
        <w:rPr>
          <w:rFonts w:hint="eastAsia" w:ascii="新宋体" w:hAnsi="新宋体" w:eastAsia="新宋体" w:cs="新宋体"/>
          <w:sz w:val="28"/>
          <w:szCs w:val="28"/>
        </w:rPr>
      </w:pPr>
    </w:p>
    <w:p>
      <w:pPr>
        <w:rPr>
          <w:rFonts w:hint="eastAsia" w:ascii="新宋体" w:hAnsi="新宋体" w:eastAsia="新宋体" w:cs="新宋体"/>
          <w:sz w:val="28"/>
          <w:szCs w:val="28"/>
        </w:rPr>
      </w:pPr>
      <w:r>
        <w:rPr>
          <w:rFonts w:hint="eastAsia" w:ascii="新宋体" w:hAnsi="新宋体" w:eastAsia="新宋体" w:cs="新宋体"/>
          <w:sz w:val="28"/>
          <w:szCs w:val="28"/>
        </w:rPr>
        <w:t>二、摆渡盘读取的差旅报销单送审</w:t>
      </w:r>
    </w:p>
    <w:p>
      <w:pPr>
        <w:rPr>
          <w:rFonts w:hint="eastAsia" w:ascii="新宋体" w:hAnsi="新宋体" w:eastAsia="新宋体" w:cs="新宋体"/>
          <w:sz w:val="28"/>
          <w:szCs w:val="28"/>
        </w:rPr>
      </w:pPr>
      <w:r>
        <w:rPr>
          <w:rFonts w:hint="eastAsia" w:ascii="新宋体" w:hAnsi="新宋体" w:eastAsia="新宋体" w:cs="新宋体"/>
          <w:sz w:val="28"/>
          <w:szCs w:val="28"/>
        </w:rPr>
        <w:t>1、点击送审按钮后，报销单数据还在未送审界面，并且上列表主单的“是否可送审”为“否”，如下图：</w:t>
      </w:r>
    </w:p>
    <w:p>
      <w:pPr>
        <w:rPr>
          <w:rFonts w:hint="eastAsia" w:ascii="新宋体" w:hAnsi="新宋体" w:eastAsia="新宋体" w:cs="新宋体"/>
          <w:sz w:val="28"/>
          <w:szCs w:val="28"/>
        </w:rPr>
      </w:pPr>
      <w:r>
        <w:rPr>
          <w:rFonts w:hint="eastAsia" w:ascii="新宋体" w:hAnsi="新宋体" w:eastAsia="新宋体" w:cs="新宋体"/>
          <w:sz w:val="28"/>
          <w:szCs w:val="28"/>
        </w:rPr>
        <w:drawing>
          <wp:inline distT="0" distB="0" distL="0" distR="0">
            <wp:extent cx="5274310" cy="234505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2345055"/>
                    </a:xfrm>
                    <a:prstGeom prst="rect">
                      <a:avLst/>
                    </a:prstGeom>
                  </pic:spPr>
                </pic:pic>
              </a:graphicData>
            </a:graphic>
          </wp:inline>
        </w:drawing>
      </w:r>
    </w:p>
    <w:p>
      <w:pPr>
        <w:rPr>
          <w:rFonts w:hint="eastAsia" w:ascii="新宋体" w:hAnsi="新宋体" w:eastAsia="新宋体" w:cs="新宋体"/>
          <w:sz w:val="28"/>
          <w:szCs w:val="28"/>
        </w:rPr>
      </w:pPr>
      <w:r>
        <w:rPr>
          <w:rFonts w:hint="eastAsia" w:ascii="新宋体" w:hAnsi="新宋体" w:eastAsia="新宋体" w:cs="新宋体"/>
          <w:sz w:val="28"/>
          <w:szCs w:val="28"/>
        </w:rPr>
        <w:t>原因：该单报销的报销明细涉及的报销卡号，没有在一体化公务卡系统维护，选中上列表这单报销，可以查看下列表第一列“失败原因”，</w:t>
      </w:r>
    </w:p>
    <w:p>
      <w:pPr>
        <w:rPr>
          <w:rFonts w:hint="eastAsia" w:ascii="新宋体" w:hAnsi="新宋体" w:eastAsia="新宋体" w:cs="新宋体"/>
          <w:sz w:val="28"/>
          <w:szCs w:val="28"/>
        </w:rPr>
      </w:pPr>
      <w:r>
        <w:rPr>
          <w:rFonts w:hint="eastAsia" w:ascii="新宋体" w:hAnsi="新宋体" w:eastAsia="新宋体" w:cs="新宋体"/>
          <w:sz w:val="28"/>
          <w:szCs w:val="28"/>
        </w:rPr>
        <w:t>场景描述：</w:t>
      </w:r>
    </w:p>
    <w:p>
      <w:pPr>
        <w:rPr>
          <w:rFonts w:hint="eastAsia" w:ascii="新宋体" w:hAnsi="新宋体" w:eastAsia="新宋体" w:cs="新宋体"/>
          <w:sz w:val="28"/>
          <w:szCs w:val="28"/>
        </w:rPr>
      </w:pPr>
      <w:r>
        <w:rPr>
          <w:rFonts w:hint="eastAsia" w:ascii="新宋体" w:hAnsi="新宋体" w:eastAsia="新宋体" w:cs="新宋体"/>
          <w:sz w:val="28"/>
          <w:szCs w:val="28"/>
        </w:rPr>
        <w:t>（1）列表展示的报销信息，是“公务之家“产生的原始报销数据；</w:t>
      </w:r>
    </w:p>
    <w:p>
      <w:pPr>
        <w:rPr>
          <w:rFonts w:hint="eastAsia" w:ascii="新宋体" w:hAnsi="新宋体" w:eastAsia="新宋体" w:cs="新宋体"/>
          <w:sz w:val="28"/>
          <w:szCs w:val="28"/>
        </w:rPr>
      </w:pPr>
      <w:r>
        <w:rPr>
          <w:rFonts w:hint="eastAsia" w:ascii="新宋体" w:hAnsi="新宋体" w:eastAsia="新宋体" w:cs="新宋体"/>
          <w:sz w:val="28"/>
          <w:szCs w:val="28"/>
        </w:rPr>
        <w:t>（2）单位职工，可能在“公务之家APP”绑定多张卡，且差旅过程中使用多张卡进行支付，单位财务人员在“公务之家PC”端设置的报销卡号不明确，导致生成的报销数据出现多张报销卡号；</w:t>
      </w:r>
    </w:p>
    <w:p>
      <w:pPr>
        <w:rPr>
          <w:rFonts w:hint="eastAsia" w:ascii="新宋体" w:hAnsi="新宋体" w:eastAsia="新宋体" w:cs="新宋体"/>
          <w:sz w:val="28"/>
          <w:szCs w:val="28"/>
        </w:rPr>
      </w:pPr>
      <w:r>
        <w:rPr>
          <w:rFonts w:hint="eastAsia" w:ascii="新宋体" w:hAnsi="新宋体" w:eastAsia="新宋体" w:cs="新宋体"/>
          <w:sz w:val="28"/>
          <w:szCs w:val="28"/>
        </w:rPr>
        <w:t>（3）而一体化公务卡系统只维护了该职工的一张公务卡；</w:t>
      </w:r>
    </w:p>
    <w:p>
      <w:pPr>
        <w:rPr>
          <w:rFonts w:hint="eastAsia" w:ascii="新宋体" w:hAnsi="新宋体" w:eastAsia="新宋体" w:cs="新宋体"/>
          <w:sz w:val="28"/>
          <w:szCs w:val="28"/>
        </w:rPr>
      </w:pPr>
      <w:r>
        <w:rPr>
          <w:rFonts w:hint="eastAsia" w:ascii="新宋体" w:hAnsi="新宋体" w:eastAsia="新宋体" w:cs="新宋体"/>
          <w:sz w:val="28"/>
          <w:szCs w:val="28"/>
        </w:rPr>
        <w:t>（4）一体化公务卡系统的“卡信息维护”同一个人是可以维护多张卡号的；</w:t>
      </w:r>
    </w:p>
    <w:p>
      <w:pPr>
        <w:rPr>
          <w:rFonts w:hint="eastAsia" w:ascii="新宋体" w:hAnsi="新宋体" w:eastAsia="新宋体" w:cs="新宋体"/>
          <w:sz w:val="28"/>
          <w:szCs w:val="28"/>
        </w:rPr>
      </w:pPr>
      <w:r>
        <w:rPr>
          <w:rFonts w:hint="eastAsia" w:ascii="新宋体" w:hAnsi="新宋体" w:eastAsia="新宋体" w:cs="新宋体"/>
          <w:sz w:val="28"/>
          <w:szCs w:val="28"/>
        </w:rPr>
        <w:t>（5）为什么不可以直接使用“公务之家”形成的报销单内的卡信息进行支付，一体化公务卡系统还要再次维护卡信息？因为：“公务之家”个人卡信息绑定时，只能选择“中国银行”、“工商银行”的总行，而不能选到具体的“网点”，支付数据收款人开户行必须为准确的网点银行，代理银行才能转账成功，因此一体化公务卡系统需要再次维护卡信息，报销单读取后送审时，系统会根据报销单的卡号，去匹配一体化公务卡信息维护的卡号，匹配成功后，使用一体化卡信息维护的该卡号的开户银行进行支付，匹配不成功，则送审失败。</w:t>
      </w:r>
    </w:p>
    <w:p>
      <w:pPr>
        <w:rPr>
          <w:rFonts w:hint="eastAsia" w:ascii="新宋体" w:hAnsi="新宋体" w:eastAsia="新宋体" w:cs="新宋体"/>
          <w:sz w:val="28"/>
          <w:szCs w:val="28"/>
        </w:rPr>
      </w:pPr>
      <w:r>
        <w:rPr>
          <w:rFonts w:hint="eastAsia" w:ascii="新宋体" w:hAnsi="新宋体" w:eastAsia="新宋体" w:cs="新宋体"/>
          <w:sz w:val="28"/>
          <w:szCs w:val="28"/>
        </w:rPr>
        <w:t>请核实：</w:t>
      </w:r>
    </w:p>
    <w:p>
      <w:pPr>
        <w:rPr>
          <w:rFonts w:hint="eastAsia" w:ascii="新宋体" w:hAnsi="新宋体" w:eastAsia="新宋体" w:cs="新宋体"/>
          <w:sz w:val="28"/>
          <w:szCs w:val="28"/>
        </w:rPr>
      </w:pPr>
      <w:r>
        <w:rPr>
          <w:rFonts w:hint="eastAsia" w:ascii="新宋体" w:hAnsi="新宋体" w:eastAsia="新宋体" w:cs="新宋体"/>
          <w:sz w:val="28"/>
          <w:szCs w:val="28"/>
        </w:rPr>
        <w:t>（1）公务之家形成的报销数据的报销卡号是否正确，或是否符合本单位财务规范要求，如不正确或不符合，请在一体化作废该报销单，在“公务之家”修改后，重新导出、读取；如正确或符合，请检查一体化公务卡系统“卡信息维护”界面，该卡号是否维护；</w:t>
      </w:r>
    </w:p>
    <w:p>
      <w:pPr>
        <w:rPr>
          <w:rFonts w:hint="eastAsia" w:ascii="新宋体" w:hAnsi="新宋体" w:eastAsia="新宋体" w:cs="新宋体"/>
          <w:sz w:val="28"/>
          <w:szCs w:val="28"/>
        </w:rPr>
      </w:pPr>
      <w:r>
        <w:rPr>
          <w:rFonts w:hint="eastAsia" w:ascii="新宋体" w:hAnsi="新宋体" w:eastAsia="新宋体" w:cs="新宋体"/>
          <w:sz w:val="28"/>
          <w:szCs w:val="28"/>
        </w:rPr>
        <w:t>（2）重新修改报销单或重新维护该卡号后，再次送审这笔报销即可。</w:t>
      </w:r>
    </w:p>
    <w:p>
      <w:pPr>
        <w:rPr>
          <w:rFonts w:hint="eastAsia" w:ascii="新宋体" w:hAnsi="新宋体" w:eastAsia="新宋体" w:cs="新宋体"/>
          <w:sz w:val="28"/>
          <w:szCs w:val="28"/>
        </w:rPr>
      </w:pPr>
    </w:p>
    <w:p>
      <w:pPr>
        <w:pStyle w:val="8"/>
        <w:numPr>
          <w:ilvl w:val="0"/>
          <w:numId w:val="1"/>
        </w:numPr>
        <w:ind w:firstLineChars="0"/>
        <w:rPr>
          <w:rFonts w:hint="eastAsia" w:ascii="新宋体" w:hAnsi="新宋体" w:eastAsia="新宋体" w:cs="新宋体"/>
          <w:sz w:val="28"/>
          <w:szCs w:val="28"/>
        </w:rPr>
      </w:pPr>
      <w:r>
        <w:rPr>
          <w:rFonts w:hint="eastAsia" w:ascii="新宋体" w:hAnsi="新宋体" w:eastAsia="新宋体" w:cs="新宋体"/>
          <w:sz w:val="28"/>
          <w:szCs w:val="28"/>
        </w:rPr>
        <w:t>差旅消费要素补录</w:t>
      </w:r>
    </w:p>
    <w:p>
      <w:pPr>
        <w:rPr>
          <w:rFonts w:hint="eastAsia" w:ascii="新宋体" w:hAnsi="新宋体" w:eastAsia="新宋体" w:cs="新宋体"/>
          <w:sz w:val="28"/>
          <w:szCs w:val="28"/>
        </w:rPr>
      </w:pPr>
      <w:r>
        <w:rPr>
          <w:rFonts w:hint="eastAsia" w:ascii="新宋体" w:hAnsi="新宋体" w:eastAsia="新宋体" w:cs="新宋体"/>
          <w:sz w:val="28"/>
          <w:szCs w:val="28"/>
        </w:rPr>
        <w:t>（1）说明：报销单送审成功后，系统根据“交易描述”信息，自动补充“业务类型”、“经济分类”两个要素信息，自动补录的规则是：</w:t>
      </w:r>
      <w:r>
        <w:rPr>
          <w:rFonts w:hint="eastAsia" w:ascii="新宋体" w:hAnsi="新宋体" w:eastAsia="新宋体" w:cs="新宋体"/>
          <w:b/>
          <w:bCs/>
          <w:sz w:val="28"/>
          <w:szCs w:val="28"/>
        </w:rPr>
        <w:t>“交易描述”为</w:t>
      </w:r>
      <w:r>
        <w:rPr>
          <w:rFonts w:hint="eastAsia" w:ascii="新宋体" w:hAnsi="新宋体" w:eastAsia="新宋体" w:cs="新宋体"/>
          <w:sz w:val="28"/>
          <w:szCs w:val="28"/>
        </w:rPr>
        <w:t>：机票、火车票、酒店、保险费、网银支付机票、微信支付机票、云闪付支付机票等含“机票”“火车票”“酒店”“保险费”“轮船票”字眼的自动补录</w:t>
      </w:r>
      <w:r>
        <w:rPr>
          <w:rFonts w:hint="eastAsia" w:ascii="新宋体" w:hAnsi="新宋体" w:eastAsia="新宋体" w:cs="新宋体"/>
          <w:b/>
          <w:bCs/>
          <w:sz w:val="28"/>
          <w:szCs w:val="28"/>
        </w:rPr>
        <w:t>业务类型、经济分类</w:t>
      </w:r>
      <w:r>
        <w:rPr>
          <w:rFonts w:hint="eastAsia" w:ascii="新宋体" w:hAnsi="新宋体" w:eastAsia="新宋体" w:cs="新宋体"/>
          <w:sz w:val="28"/>
          <w:szCs w:val="28"/>
        </w:rPr>
        <w:t>为：08差旅费、30211差旅费；</w:t>
      </w:r>
    </w:p>
    <w:p>
      <w:pPr>
        <w:rPr>
          <w:rFonts w:hint="eastAsia" w:ascii="新宋体" w:hAnsi="新宋体" w:eastAsia="新宋体" w:cs="新宋体"/>
          <w:sz w:val="28"/>
          <w:szCs w:val="28"/>
        </w:rPr>
      </w:pPr>
      <w:r>
        <w:rPr>
          <w:rFonts w:hint="eastAsia" w:ascii="新宋体" w:hAnsi="新宋体" w:eastAsia="新宋体" w:cs="新宋体"/>
          <w:b/>
          <w:bCs/>
          <w:sz w:val="28"/>
          <w:szCs w:val="28"/>
        </w:rPr>
        <w:t>“交易描述”为</w:t>
      </w:r>
      <w:r>
        <w:rPr>
          <w:rFonts w:hint="eastAsia" w:ascii="新宋体" w:hAnsi="新宋体" w:eastAsia="新宋体" w:cs="新宋体"/>
          <w:sz w:val="28"/>
          <w:szCs w:val="28"/>
        </w:rPr>
        <w:t>：餐费补助、交通补助、部分城市间交通费补助等含“补助”字眼的，自动补录</w:t>
      </w:r>
      <w:r>
        <w:rPr>
          <w:rFonts w:hint="eastAsia" w:ascii="新宋体" w:hAnsi="新宋体" w:eastAsia="新宋体" w:cs="新宋体"/>
          <w:b/>
          <w:bCs/>
          <w:sz w:val="28"/>
          <w:szCs w:val="28"/>
        </w:rPr>
        <w:t>业务类型、经济分类</w:t>
      </w:r>
      <w:r>
        <w:rPr>
          <w:rFonts w:hint="eastAsia" w:ascii="新宋体" w:hAnsi="新宋体" w:eastAsia="新宋体" w:cs="新宋体"/>
          <w:sz w:val="28"/>
          <w:szCs w:val="28"/>
        </w:rPr>
        <w:t>为：17差旅费（补贴）、30211差旅费；</w:t>
      </w:r>
    </w:p>
    <w:p>
      <w:pPr>
        <w:rPr>
          <w:rFonts w:hint="eastAsia" w:ascii="新宋体" w:hAnsi="新宋体" w:eastAsia="新宋体" w:cs="新宋体"/>
          <w:sz w:val="28"/>
          <w:szCs w:val="28"/>
        </w:rPr>
      </w:pPr>
      <w:r>
        <w:rPr>
          <w:rFonts w:hint="eastAsia" w:ascii="新宋体" w:hAnsi="新宋体" w:eastAsia="新宋体" w:cs="新宋体"/>
          <w:sz w:val="28"/>
          <w:szCs w:val="28"/>
        </w:rPr>
        <w:t>（2）若有特殊情况，财务人员可以修改要素补录信息，</w:t>
      </w:r>
    </w:p>
    <w:p>
      <w:pPr>
        <w:rPr>
          <w:rFonts w:hint="eastAsia" w:ascii="新宋体" w:hAnsi="新宋体" w:eastAsia="新宋体" w:cs="新宋体"/>
          <w:sz w:val="28"/>
          <w:szCs w:val="28"/>
        </w:rPr>
      </w:pPr>
      <w:r>
        <w:rPr>
          <w:rFonts w:hint="eastAsia" w:ascii="新宋体" w:hAnsi="新宋体" w:eastAsia="新宋体" w:cs="新宋体"/>
          <w:sz w:val="28"/>
          <w:szCs w:val="28"/>
        </w:rPr>
        <w:t>（3）请注意：该节点补录的“经济分类”会影响后续的授权支付额度使用，消费明细生成支付申请时，只能选择符合“政府经济分了控制部门经济分类”规则下对应的授权支付额度。</w:t>
      </w:r>
    </w:p>
    <w:p>
      <w:pPr>
        <w:rPr>
          <w:rFonts w:hint="eastAsia" w:ascii="新宋体" w:hAnsi="新宋体" w:eastAsia="新宋体" w:cs="新宋体"/>
          <w:sz w:val="28"/>
          <w:szCs w:val="28"/>
        </w:rPr>
      </w:pPr>
    </w:p>
    <w:p>
      <w:pPr>
        <w:rPr>
          <w:rFonts w:hint="eastAsia" w:ascii="新宋体" w:hAnsi="新宋体" w:eastAsia="新宋体" w:cs="新宋体"/>
          <w:sz w:val="28"/>
          <w:szCs w:val="28"/>
        </w:rPr>
      </w:pPr>
      <w:r>
        <w:rPr>
          <w:rFonts w:hint="eastAsia" w:ascii="新宋体" w:hAnsi="新宋体" w:eastAsia="新宋体" w:cs="新宋体"/>
          <w:sz w:val="28"/>
          <w:szCs w:val="28"/>
        </w:rPr>
        <w:t>四、消费明细生成支付申请</w:t>
      </w:r>
    </w:p>
    <w:p>
      <w:pPr>
        <w:rPr>
          <w:rFonts w:hint="eastAsia" w:ascii="新宋体" w:hAnsi="新宋体" w:eastAsia="新宋体" w:cs="新宋体"/>
          <w:sz w:val="28"/>
          <w:szCs w:val="28"/>
        </w:rPr>
      </w:pPr>
      <w:r>
        <w:rPr>
          <w:rFonts w:hint="eastAsia" w:ascii="新宋体" w:hAnsi="新宋体" w:eastAsia="新宋体" w:cs="新宋体"/>
          <w:sz w:val="28"/>
          <w:szCs w:val="28"/>
        </w:rPr>
        <w:t>（1）该界面上列表展示确认使用零余额账户报销的消费明细，下列表展示本单位可用授权支付额度（注意：下列表的授权支付额度只展示政府经济分类为502机关商品和服务支持、505对事业单位经常性补助及502和505下的额度）</w:t>
      </w:r>
    </w:p>
    <w:p>
      <w:pPr>
        <w:rPr>
          <w:rFonts w:hint="eastAsia" w:ascii="新宋体" w:hAnsi="新宋体" w:eastAsia="新宋体" w:cs="新宋体"/>
          <w:sz w:val="28"/>
          <w:szCs w:val="28"/>
        </w:rPr>
      </w:pPr>
      <w:r>
        <w:rPr>
          <w:rFonts w:hint="eastAsia" w:ascii="新宋体" w:hAnsi="新宋体" w:eastAsia="新宋体" w:cs="新宋体"/>
          <w:sz w:val="28"/>
          <w:szCs w:val="28"/>
        </w:rPr>
        <w:t>（2）特殊单位，如果需要使用其他授权支付额度支付差旅费，需要向财政提出申请，例如水利部门，可能使用项目支持的额度支付差旅费</w:t>
      </w:r>
    </w:p>
    <w:p>
      <w:pPr>
        <w:rPr>
          <w:rFonts w:hint="eastAsia" w:ascii="新宋体" w:hAnsi="新宋体" w:eastAsia="新宋体" w:cs="新宋体"/>
          <w:sz w:val="28"/>
          <w:szCs w:val="28"/>
        </w:rPr>
      </w:pPr>
      <w:r>
        <w:rPr>
          <w:rFonts w:hint="eastAsia" w:ascii="新宋体" w:hAnsi="新宋体" w:eastAsia="新宋体" w:cs="新宋体"/>
          <w:sz w:val="28"/>
          <w:szCs w:val="28"/>
        </w:rPr>
        <w:t>（3）上列表的消费明细可以同时勾选多条，下列表的额度也可以同时勾选多条，勾选后，点击生成支付申请即可</w:t>
      </w:r>
    </w:p>
    <w:p>
      <w:pPr>
        <w:rPr>
          <w:rFonts w:hint="eastAsia" w:ascii="新宋体" w:hAnsi="新宋体" w:eastAsia="新宋体" w:cs="新宋体"/>
          <w:sz w:val="28"/>
          <w:szCs w:val="28"/>
        </w:rPr>
      </w:pPr>
      <w:r>
        <w:rPr>
          <w:rFonts w:hint="eastAsia" w:ascii="新宋体" w:hAnsi="新宋体" w:eastAsia="新宋体" w:cs="新宋体"/>
          <w:sz w:val="28"/>
          <w:szCs w:val="28"/>
        </w:rPr>
        <w:t>（4）上列表同时勾选多条消费明细时，系统会把：报销单号、卡号、经济分类一致的消费明细</w:t>
      </w:r>
      <w:r>
        <w:rPr>
          <w:rFonts w:hint="eastAsia" w:ascii="新宋体" w:hAnsi="新宋体" w:eastAsia="新宋体" w:cs="新宋体"/>
          <w:b/>
          <w:bCs/>
          <w:sz w:val="28"/>
          <w:szCs w:val="28"/>
        </w:rPr>
        <w:t>合单</w:t>
      </w:r>
      <w:r>
        <w:rPr>
          <w:rFonts w:hint="eastAsia" w:ascii="新宋体" w:hAnsi="新宋体" w:eastAsia="新宋体" w:cs="新宋体"/>
          <w:sz w:val="28"/>
          <w:szCs w:val="28"/>
        </w:rPr>
        <w:t>，生成一条支付明细</w:t>
      </w:r>
    </w:p>
    <w:p>
      <w:pPr>
        <w:rPr>
          <w:rFonts w:hint="eastAsia" w:ascii="新宋体" w:hAnsi="新宋体" w:eastAsia="新宋体" w:cs="新宋体"/>
          <w:sz w:val="28"/>
          <w:szCs w:val="28"/>
        </w:rPr>
      </w:pPr>
      <w:r>
        <w:rPr>
          <w:rFonts w:hint="eastAsia" w:ascii="新宋体" w:hAnsi="新宋体" w:eastAsia="新宋体" w:cs="新宋体"/>
          <w:sz w:val="28"/>
          <w:szCs w:val="28"/>
        </w:rPr>
        <w:t>（5）下列表同时勾选多条额度时，系统会根据额度</w:t>
      </w:r>
      <w:r>
        <w:rPr>
          <w:rFonts w:hint="eastAsia" w:ascii="新宋体" w:hAnsi="新宋体" w:eastAsia="新宋体" w:cs="新宋体"/>
          <w:b/>
          <w:bCs/>
          <w:sz w:val="28"/>
          <w:szCs w:val="28"/>
        </w:rPr>
        <w:t>可用金额</w:t>
      </w:r>
      <w:r>
        <w:rPr>
          <w:rFonts w:hint="eastAsia" w:ascii="新宋体" w:hAnsi="新宋体" w:eastAsia="新宋体" w:cs="新宋体"/>
          <w:sz w:val="28"/>
          <w:szCs w:val="28"/>
        </w:rPr>
        <w:t>的大小，先把可用金额较小的额度扣减完，再去扣减可用金额较大的额度，依此扣减，直到所勾选的消费明细均生成支付明细</w:t>
      </w:r>
    </w:p>
    <w:p>
      <w:pPr>
        <w:rPr>
          <w:rFonts w:hint="eastAsia" w:ascii="新宋体" w:hAnsi="新宋体" w:eastAsia="新宋体" w:cs="新宋体"/>
          <w:sz w:val="28"/>
          <w:szCs w:val="28"/>
        </w:rPr>
      </w:pPr>
    </w:p>
    <w:p>
      <w:pPr>
        <w:rPr>
          <w:rFonts w:hint="eastAsia" w:ascii="新宋体" w:hAnsi="新宋体" w:eastAsia="新宋体" w:cs="新宋体"/>
          <w:sz w:val="28"/>
          <w:szCs w:val="28"/>
        </w:rPr>
      </w:pPr>
      <w:r>
        <w:rPr>
          <w:rFonts w:hint="eastAsia" w:ascii="新宋体" w:hAnsi="新宋体" w:eastAsia="新宋体" w:cs="新宋体"/>
          <w:sz w:val="28"/>
          <w:szCs w:val="28"/>
        </w:rPr>
        <w:t>五、公务卡还款凭证生成</w:t>
      </w:r>
    </w:p>
    <w:p>
      <w:pPr>
        <w:rPr>
          <w:rFonts w:hint="eastAsia" w:ascii="新宋体" w:hAnsi="新宋体" w:eastAsia="新宋体" w:cs="新宋体"/>
          <w:sz w:val="28"/>
          <w:szCs w:val="28"/>
        </w:rPr>
      </w:pPr>
      <w:r>
        <w:rPr>
          <w:rFonts w:hint="eastAsia" w:ascii="新宋体" w:hAnsi="新宋体" w:eastAsia="新宋体" w:cs="新宋体"/>
          <w:sz w:val="28"/>
          <w:szCs w:val="28"/>
        </w:rPr>
        <w:t>（1）公务卡还款凭证生成界面，可用同时勾选多条支付明细，进行生成，被勾选的多条消费明细，如果</w:t>
      </w:r>
      <w:r>
        <w:rPr>
          <w:rFonts w:hint="eastAsia" w:ascii="新宋体" w:hAnsi="新宋体" w:eastAsia="新宋体" w:cs="新宋体"/>
          <w:b/>
          <w:bCs/>
          <w:sz w:val="28"/>
          <w:szCs w:val="28"/>
        </w:rPr>
        <w:t>功能分类一致</w:t>
      </w:r>
      <w:r>
        <w:rPr>
          <w:rFonts w:hint="eastAsia" w:ascii="新宋体" w:hAnsi="新宋体" w:eastAsia="新宋体" w:cs="新宋体"/>
          <w:sz w:val="28"/>
          <w:szCs w:val="28"/>
        </w:rPr>
        <w:t>，则会合单，生成一张公务卡还款凭证；</w:t>
      </w:r>
    </w:p>
    <w:p>
      <w:pPr>
        <w:rPr>
          <w:rFonts w:hint="eastAsia" w:ascii="新宋体" w:hAnsi="新宋体" w:eastAsia="新宋体" w:cs="新宋体"/>
          <w:sz w:val="28"/>
          <w:szCs w:val="28"/>
        </w:rPr>
      </w:pPr>
      <w:r>
        <w:rPr>
          <w:rFonts w:hint="eastAsia" w:ascii="新宋体" w:hAnsi="新宋体" w:eastAsia="新宋体" w:cs="新宋体"/>
          <w:sz w:val="28"/>
          <w:szCs w:val="28"/>
        </w:rPr>
        <w:t>（2）公务卡还款凭证的第一联（凭证主单），是不显示收款人账户名称、收款人账号、收款人开户行的，因为公务卡还款凭证可用同时支付多个人、多笔报销，</w:t>
      </w:r>
    </w:p>
    <w:p>
      <w:pPr>
        <w:rPr>
          <w:rFonts w:hint="eastAsia" w:ascii="新宋体" w:hAnsi="新宋体" w:eastAsia="新宋体" w:cs="新宋体"/>
          <w:sz w:val="28"/>
          <w:szCs w:val="28"/>
        </w:rPr>
      </w:pPr>
      <w:r>
        <w:rPr>
          <w:rFonts w:hint="eastAsia" w:ascii="新宋体" w:hAnsi="新宋体" w:eastAsia="新宋体" w:cs="新宋体"/>
          <w:sz w:val="28"/>
          <w:szCs w:val="28"/>
        </w:rPr>
        <w:t>（3）收款人信息是展示在还款凭证的第二联（还款明细）上的，代理银行收到还款凭证后，也是按照第二联的明细进行转账支付的。</w:t>
      </w:r>
    </w:p>
    <w:p>
      <w:pPr>
        <w:rPr>
          <w:rFonts w:hint="eastAsia" w:ascii="新宋体" w:hAnsi="新宋体" w:eastAsia="新宋体" w:cs="新宋体"/>
          <w:sz w:val="28"/>
          <w:szCs w:val="28"/>
        </w:rPr>
      </w:pPr>
      <w:r>
        <w:rPr>
          <w:rFonts w:hint="eastAsia" w:ascii="新宋体" w:hAnsi="新宋体" w:eastAsia="新宋体" w:cs="新宋体"/>
          <w:sz w:val="28"/>
          <w:szCs w:val="28"/>
        </w:rPr>
        <w:drawing>
          <wp:inline distT="0" distB="0" distL="0" distR="0">
            <wp:extent cx="5274310" cy="2417445"/>
            <wp:effectExtent l="0" t="0" r="254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stretch>
                      <a:fillRect/>
                    </a:stretch>
                  </pic:blipFill>
                  <pic:spPr>
                    <a:xfrm>
                      <a:off x="0" y="0"/>
                      <a:ext cx="5274310" cy="2417445"/>
                    </a:xfrm>
                    <a:prstGeom prst="rect">
                      <a:avLst/>
                    </a:prstGeom>
                  </pic:spPr>
                </pic:pic>
              </a:graphicData>
            </a:graphic>
          </wp:inline>
        </w:drawing>
      </w:r>
    </w:p>
    <w:p>
      <w:pPr>
        <w:rPr>
          <w:rFonts w:hint="eastAsia" w:ascii="新宋体" w:hAnsi="新宋体" w:eastAsia="新宋体" w:cs="新宋体"/>
          <w:sz w:val="28"/>
          <w:szCs w:val="28"/>
        </w:rPr>
      </w:pPr>
      <w:r>
        <w:rPr>
          <w:rFonts w:hint="eastAsia" w:ascii="新宋体" w:hAnsi="新宋体" w:eastAsia="新宋体" w:cs="新宋体"/>
          <w:sz w:val="28"/>
          <w:szCs w:val="28"/>
        </w:rPr>
        <w:t>六、还款失败处理</w:t>
      </w:r>
    </w:p>
    <w:p>
      <w:pPr>
        <w:rPr>
          <w:rFonts w:hint="eastAsia" w:ascii="新宋体" w:hAnsi="新宋体" w:eastAsia="新宋体" w:cs="新宋体"/>
          <w:sz w:val="28"/>
          <w:szCs w:val="28"/>
        </w:rPr>
      </w:pPr>
      <w:r>
        <w:rPr>
          <w:rFonts w:hint="eastAsia" w:ascii="新宋体" w:hAnsi="新宋体" w:eastAsia="新宋体" w:cs="新宋体"/>
          <w:sz w:val="28"/>
          <w:szCs w:val="28"/>
        </w:rPr>
        <w:t>（1）因卡信息不正确，导致银行支付失败，银行一般使用两种处理方式：一是为不影响整张还款凭证其他明细的支付，代理银行先把该条支付明细做支付成功处理，在对该条支付明细做授权支付退款；二是该条支付明细不做支付处理，在授权支付回单签收后，一体化自动把该支付明细对应的额度还原，且授权支付回单该条支付明细对应的实际支付金额显示为“0.00”，</w:t>
      </w:r>
    </w:p>
    <w:p>
      <w:pPr>
        <w:rPr>
          <w:rFonts w:hint="eastAsia" w:ascii="新宋体" w:hAnsi="新宋体" w:eastAsia="新宋体" w:cs="新宋体"/>
          <w:sz w:val="28"/>
          <w:szCs w:val="28"/>
        </w:rPr>
      </w:pPr>
      <w:r>
        <w:rPr>
          <w:rFonts w:hint="eastAsia" w:ascii="新宋体" w:hAnsi="新宋体" w:eastAsia="新宋体" w:cs="新宋体"/>
          <w:sz w:val="28"/>
          <w:szCs w:val="28"/>
        </w:rPr>
        <w:t>（2）对应支付失败的报销明细，请与网点核实清楚失败原因，并纠正后，使用“消费明细录入”的方式，进行后续还款。</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华文琥珀">
    <w:altName w:val="宋体"/>
    <w:panose1 w:val="02010800040101010101"/>
    <w:charset w:val="86"/>
    <w:family w:val="auto"/>
    <w:pitch w:val="default"/>
    <w:sig w:usb0="00000000" w:usb1="00000000" w:usb2="00000000" w:usb3="00000000" w:csb0="00040000" w:csb1="00000000"/>
  </w:font>
  <w:font w:name="Microsoft JhengHei">
    <w:panose1 w:val="020B0604030504040204"/>
    <w:charset w:val="88"/>
    <w:family w:val="auto"/>
    <w:pitch w:val="default"/>
    <w:sig w:usb0="00000087" w:usb1="28AF4000" w:usb2="00000016" w:usb3="00000000" w:csb0="00100009" w:csb1="00000000"/>
  </w:font>
  <w:font w:name="华文仿宋">
    <w:altName w:val="仿宋"/>
    <w:panose1 w:val="02010600040101010101"/>
    <w:charset w:val="86"/>
    <w:family w:val="auto"/>
    <w:pitch w:val="default"/>
    <w:sig w:usb0="00000000" w:usb1="00000000" w:usb2="00000000" w:usb3="00000000" w:csb0="0004009F" w:csb1="DFD70000"/>
  </w:font>
  <w:font w:name="微软雅黑 Light">
    <w:altName w:val="黑体"/>
    <w:panose1 w:val="020B0502040204020203"/>
    <w:charset w:val="86"/>
    <w:family w:val="auto"/>
    <w:pitch w:val="default"/>
    <w:sig w:usb0="00000000" w:usb1="0000000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等线 Light">
    <w:altName w:val="宋体"/>
    <w:panose1 w:val="02010600030101010101"/>
    <w:charset w:val="86"/>
    <w:family w:val="auto"/>
    <w:pitch w:val="default"/>
    <w:sig w:usb0="00000000" w:usb1="00000000" w:usb2="00000016" w:usb3="00000000" w:csb0="0004000F" w:csb1="00000000"/>
  </w:font>
  <w:font w:name="华文彩云">
    <w:altName w:val="微软雅黑"/>
    <w:panose1 w:val="02010800040101010101"/>
    <w:charset w:val="86"/>
    <w:family w:val="auto"/>
    <w:pitch w:val="default"/>
    <w:sig w:usb0="00000000" w:usb1="00000000" w:usb2="00000000" w:usb3="00000000" w:csb0="00040000" w:csb1="00000000"/>
  </w:font>
  <w:font w:name="幼圆">
    <w:altName w:val="宋体"/>
    <w:panose1 w:val="02010509060101010101"/>
    <w:charset w:val="86"/>
    <w:family w:val="auto"/>
    <w:pitch w:val="default"/>
    <w:sig w:usb0="00000000" w:usb1="00000000" w:usb2="00000000" w:usb3="00000000" w:csb0="00040000" w:csb1="00000000"/>
  </w:font>
  <w:font w:name="Microsoft JhengHei Light">
    <w:altName w:val="Microsoft JhengHei"/>
    <w:panose1 w:val="020B0304030504040204"/>
    <w:charset w:val="88"/>
    <w:family w:val="auto"/>
    <w:pitch w:val="default"/>
    <w:sig w:usb0="00000000" w:usb1="00000000" w:usb2="00000016" w:usb3="00000000" w:csb0="00100009" w:csb1="00000000"/>
  </w:font>
  <w:font w:name="SimSun-ExtB">
    <w:panose1 w:val="02010609060101010101"/>
    <w:charset w:val="86"/>
    <w:family w:val="auto"/>
    <w:pitch w:val="default"/>
    <w:sig w:usb0="00000001" w:usb1="02000000" w:usb2="00000000" w:usb3="00000000" w:csb0="00040001" w:csb1="00000000"/>
  </w:font>
  <w:font w:name="Arial Rounded MT Bold">
    <w:altName w:val="Arial"/>
    <w:panose1 w:val="020F0704030504030204"/>
    <w:charset w:val="00"/>
    <w:family w:val="auto"/>
    <w:pitch w:val="default"/>
    <w:sig w:usb0="00000000" w:usb1="00000000" w:usb2="00000000" w:usb3="00000000" w:csb0="20000001" w:csb1="00000000"/>
  </w:font>
  <w:font w:name="04b_21">
    <w:altName w:val="Segoe Print"/>
    <w:panose1 w:val="00000400000000000000"/>
    <w:charset w:val="00"/>
    <w:family w:val="auto"/>
    <w:pitch w:val="default"/>
    <w:sig w:usb0="00000000" w:usb1="00000000" w:usb2="00000000" w:usb3="00000000" w:csb0="00000000" w:csb1="00000000"/>
  </w:font>
  <w:font w:name="华文隶书">
    <w:altName w:val="微软雅黑"/>
    <w:panose1 w:val="0201080004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姚体">
    <w:altName w:val="宋体"/>
    <w:panose1 w:val="02010601030101010101"/>
    <w:charset w:val="86"/>
    <w:family w:val="auto"/>
    <w:pitch w:val="default"/>
    <w:sig w:usb0="00000000" w:usb1="0000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等线">
    <w:altName w:val="宋体"/>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Webdings">
    <w:panose1 w:val="05030102010509060703"/>
    <w:charset w:val="00"/>
    <w:family w:val="auto"/>
    <w:pitch w:val="default"/>
    <w:sig w:usb0="00000000" w:usb1="00000000" w:usb2="00000000" w:usb3="00000000" w:csb0="80000000" w:csb1="00000000"/>
  </w:font>
  <w:font w:name="等线">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C959C9"/>
    <w:multiLevelType w:val="multilevel"/>
    <w:tmpl w:val="58C959C9"/>
    <w:lvl w:ilvl="0" w:tentative="0">
      <w:start w:val="1"/>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9A9"/>
    <w:rsid w:val="002B69A9"/>
    <w:rsid w:val="003A22E2"/>
    <w:rsid w:val="004B349D"/>
    <w:rsid w:val="00560981"/>
    <w:rsid w:val="005C40F9"/>
    <w:rsid w:val="006614AE"/>
    <w:rsid w:val="0068497A"/>
    <w:rsid w:val="006A3F5A"/>
    <w:rsid w:val="006E47CE"/>
    <w:rsid w:val="006F660C"/>
    <w:rsid w:val="007B2943"/>
    <w:rsid w:val="00895AA8"/>
    <w:rsid w:val="00992D1E"/>
    <w:rsid w:val="00A42AD3"/>
    <w:rsid w:val="00A53067"/>
    <w:rsid w:val="00A7643D"/>
    <w:rsid w:val="00AF3532"/>
    <w:rsid w:val="00BD3ADC"/>
    <w:rsid w:val="00CE7237"/>
    <w:rsid w:val="00E651DE"/>
    <w:rsid w:val="00F1633D"/>
    <w:rsid w:val="00F53AE4"/>
    <w:rsid w:val="5DAE0B29"/>
    <w:rsid w:val="64102DA2"/>
    <w:rsid w:val="77D41DF5"/>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4"/>
    <w:link w:val="3"/>
    <w:qFormat/>
    <w:uiPriority w:val="99"/>
    <w:rPr>
      <w:sz w:val="18"/>
      <w:szCs w:val="18"/>
    </w:rPr>
  </w:style>
  <w:style w:type="character" w:customStyle="1" w:styleId="7">
    <w:name w:val="页脚 字符"/>
    <w:basedOn w:val="4"/>
    <w:link w:val="2"/>
    <w:qFormat/>
    <w:uiPriority w:val="99"/>
    <w:rPr>
      <w:sz w:val="18"/>
      <w:szCs w:val="18"/>
    </w:rPr>
  </w:style>
  <w:style w:type="paragraph" w:customStyle="1"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6A2531-4001-4BF5-ACAB-DA1D6BA08418}">
  <ds:schemaRefs/>
</ds:datastoreItem>
</file>

<file path=docProps/app.xml><?xml version="1.0" encoding="utf-8"?>
<Properties xmlns="http://schemas.openxmlformats.org/officeDocument/2006/extended-properties" xmlns:vt="http://schemas.openxmlformats.org/officeDocument/2006/docPropsVTypes">
  <Template>Normal.dotm</Template>
  <Pages>6</Pages>
  <Words>333</Words>
  <Characters>1900</Characters>
  <Lines>15</Lines>
  <Paragraphs>4</Paragraphs>
  <ScaleCrop>false</ScaleCrop>
  <LinksUpToDate>false</LinksUpToDate>
  <CharactersWithSpaces>2229</CharactersWithSpaces>
  <Application>WPS Office_10.8.0.5950_F1E327BC-269C-435d-A152-05C5408002CA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2019-10-30T01:44:00Z</dcterms:created>
  <dc:creator>郑开存</dc:creator>
  <cp:lastModifiedBy>杨慧源</cp:lastModifiedBy>
  <dcterms:modified xsi:type="dcterms:W3CDTF">2021-10-13T09:22:12Z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2052-10.8.0.5950</vt:lpwstr>
  </property>
</Properties>
</file>